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5D7B2" w14:textId="77777777" w:rsidR="00C50752" w:rsidRPr="00733A19" w:rsidRDefault="00C50752" w:rsidP="00C50752">
      <w:pPr>
        <w:jc w:val="center"/>
        <w:rPr>
          <w:rFonts w:ascii="Times New Roman" w:hAnsi="Times New Roman" w:cs="Times New Roman"/>
          <w:b/>
          <w:sz w:val="24"/>
        </w:rPr>
      </w:pPr>
      <w:r>
        <w:rPr>
          <w:rFonts w:ascii="Times New Roman" w:hAnsi="Times New Roman" w:cs="Times New Roman"/>
          <w:b/>
          <w:sz w:val="24"/>
        </w:rPr>
        <w:t xml:space="preserve">APÊNDICE BC - </w:t>
      </w:r>
      <w:r>
        <w:rPr>
          <w:rFonts w:ascii="Times New Roman" w:hAnsi="Times New Roman" w:cs="Times New Roman"/>
          <w:b/>
          <w:sz w:val="24"/>
        </w:rPr>
        <w:t>INSTRU</w:t>
      </w:r>
      <w:r w:rsidRPr="00733A19">
        <w:rPr>
          <w:rFonts w:ascii="Times New Roman" w:hAnsi="Times New Roman" w:cs="Times New Roman"/>
          <w:b/>
          <w:sz w:val="24"/>
        </w:rPr>
        <w:t xml:space="preserve">ÇÕES </w:t>
      </w:r>
      <w:r>
        <w:rPr>
          <w:rFonts w:ascii="Times New Roman" w:hAnsi="Times New Roman" w:cs="Times New Roman"/>
          <w:b/>
          <w:sz w:val="24"/>
        </w:rPr>
        <w:t>DE UTILIZAÇÃO D</w:t>
      </w:r>
      <w:r w:rsidRPr="00733A19">
        <w:rPr>
          <w:rFonts w:ascii="Times New Roman" w:hAnsi="Times New Roman" w:cs="Times New Roman"/>
          <w:b/>
          <w:sz w:val="24"/>
        </w:rPr>
        <w:t xml:space="preserve">A </w:t>
      </w:r>
      <w:r>
        <w:rPr>
          <w:rFonts w:ascii="Times New Roman" w:hAnsi="Times New Roman" w:cs="Times New Roman"/>
          <w:b/>
          <w:sz w:val="24"/>
        </w:rPr>
        <w:t xml:space="preserve">FERRAMENTA DE </w:t>
      </w:r>
      <w:r w:rsidRPr="00733A19">
        <w:rPr>
          <w:rFonts w:ascii="Times New Roman" w:hAnsi="Times New Roman" w:cs="Times New Roman"/>
          <w:b/>
          <w:sz w:val="24"/>
        </w:rPr>
        <w:t>GESTÃO DA CONTA-DEPÓSITO VINCULADA</w:t>
      </w:r>
    </w:p>
    <w:p w14:paraId="06A9949E" w14:textId="5C009BBB" w:rsidR="00733A19" w:rsidRPr="00733A19" w:rsidRDefault="00746ADB" w:rsidP="00733A19">
      <w:pPr>
        <w:jc w:val="center"/>
        <w:rPr>
          <w:rFonts w:ascii="Times New Roman" w:hAnsi="Times New Roman" w:cs="Times New Roman"/>
          <w:b/>
          <w:sz w:val="24"/>
        </w:rPr>
      </w:pPr>
      <w:bookmarkStart w:id="0" w:name="_GoBack"/>
      <w:bookmarkEnd w:id="0"/>
      <w:r>
        <w:rPr>
          <w:rFonts w:ascii="Times New Roman" w:hAnsi="Times New Roman" w:cs="Times New Roman"/>
          <w:b/>
          <w:sz w:val="24"/>
        </w:rPr>
        <w:t>INSTRU</w:t>
      </w:r>
      <w:r w:rsidR="00D8657A" w:rsidRPr="00733A19">
        <w:rPr>
          <w:rFonts w:ascii="Times New Roman" w:hAnsi="Times New Roman" w:cs="Times New Roman"/>
          <w:b/>
          <w:sz w:val="24"/>
        </w:rPr>
        <w:t xml:space="preserve">ÇÕES </w:t>
      </w:r>
      <w:r>
        <w:rPr>
          <w:rFonts w:ascii="Times New Roman" w:hAnsi="Times New Roman" w:cs="Times New Roman"/>
          <w:b/>
          <w:sz w:val="24"/>
        </w:rPr>
        <w:t>DE UTILIZAÇÃO D</w:t>
      </w:r>
      <w:r w:rsidR="00733A19" w:rsidRPr="00733A19">
        <w:rPr>
          <w:rFonts w:ascii="Times New Roman" w:hAnsi="Times New Roman" w:cs="Times New Roman"/>
          <w:b/>
          <w:sz w:val="24"/>
        </w:rPr>
        <w:t xml:space="preserve">A </w:t>
      </w:r>
      <w:r>
        <w:rPr>
          <w:rFonts w:ascii="Times New Roman" w:hAnsi="Times New Roman" w:cs="Times New Roman"/>
          <w:b/>
          <w:sz w:val="24"/>
        </w:rPr>
        <w:t xml:space="preserve">FERRAMENTA DE </w:t>
      </w:r>
      <w:r w:rsidR="00733A19" w:rsidRPr="00733A19">
        <w:rPr>
          <w:rFonts w:ascii="Times New Roman" w:hAnsi="Times New Roman" w:cs="Times New Roman"/>
          <w:b/>
          <w:sz w:val="24"/>
        </w:rPr>
        <w:t>GESTÃO DA CONTA-DEPÓSITO VINCULADA</w:t>
      </w:r>
    </w:p>
    <w:p w14:paraId="3D3591B7" w14:textId="15CB426A" w:rsidR="00733A19" w:rsidRDefault="00733A19" w:rsidP="00746ADB">
      <w:pPr>
        <w:spacing w:after="0"/>
        <w:ind w:firstLine="708"/>
        <w:jc w:val="both"/>
        <w:rPr>
          <w:rFonts w:ascii="Times New Roman" w:hAnsi="Times New Roman" w:cs="Times New Roman"/>
          <w:sz w:val="24"/>
        </w:rPr>
      </w:pPr>
      <w:r w:rsidRPr="00733A19">
        <w:rPr>
          <w:rFonts w:ascii="Times New Roman" w:hAnsi="Times New Roman" w:cs="Times New Roman"/>
          <w:sz w:val="24"/>
          <w:szCs w:val="24"/>
        </w:rPr>
        <w:t>Com o objetivo de contextualizar</w:t>
      </w:r>
      <w:r>
        <w:rPr>
          <w:rFonts w:ascii="Times New Roman" w:hAnsi="Times New Roman" w:cs="Times New Roman"/>
          <w:sz w:val="24"/>
          <w:szCs w:val="24"/>
        </w:rPr>
        <w:t xml:space="preserve"> a gestão contratual, ma</w:t>
      </w:r>
      <w:r w:rsidR="00DB6471">
        <w:rPr>
          <w:rFonts w:ascii="Times New Roman" w:hAnsi="Times New Roman" w:cs="Times New Roman"/>
          <w:sz w:val="24"/>
          <w:szCs w:val="24"/>
        </w:rPr>
        <w:t>i</w:t>
      </w:r>
      <w:r>
        <w:rPr>
          <w:rFonts w:ascii="Times New Roman" w:hAnsi="Times New Roman" w:cs="Times New Roman"/>
          <w:sz w:val="24"/>
          <w:szCs w:val="24"/>
        </w:rPr>
        <w:t xml:space="preserve">s especificamente a fiscalização administrativa, responsável pela gestão da Conta-Depósito Vinculada, </w:t>
      </w:r>
      <w:r w:rsidRPr="00733A19">
        <w:rPr>
          <w:rFonts w:ascii="Times New Roman" w:hAnsi="Times New Roman" w:cs="Times New Roman"/>
          <w:sz w:val="24"/>
        </w:rPr>
        <w:t>serão descritas algumas boas práticas de utilização e gestão da conta vinculada, complementando as</w:t>
      </w:r>
      <w:r>
        <w:rPr>
          <w:rFonts w:ascii="Times New Roman" w:hAnsi="Times New Roman" w:cs="Times New Roman"/>
          <w:sz w:val="24"/>
        </w:rPr>
        <w:t xml:space="preserve"> orien</w:t>
      </w:r>
      <w:r w:rsidRPr="00733A19">
        <w:rPr>
          <w:rFonts w:ascii="Times New Roman" w:hAnsi="Times New Roman" w:cs="Times New Roman"/>
          <w:sz w:val="24"/>
        </w:rPr>
        <w:t>tações sobre a melhores formas de incorporação da ferramenta nos processos de gestão contratual</w:t>
      </w:r>
      <w:r w:rsidR="008D0390">
        <w:rPr>
          <w:rFonts w:ascii="Times New Roman" w:hAnsi="Times New Roman" w:cs="Times New Roman"/>
          <w:sz w:val="24"/>
        </w:rPr>
        <w:t>.</w:t>
      </w:r>
    </w:p>
    <w:p w14:paraId="552796AF" w14:textId="16EBBA97" w:rsidR="00746ADB" w:rsidRDefault="008D0390" w:rsidP="00746ADB">
      <w:pPr>
        <w:spacing w:after="0"/>
        <w:ind w:firstLine="708"/>
        <w:jc w:val="both"/>
        <w:rPr>
          <w:rFonts w:ascii="Times New Roman" w:hAnsi="Times New Roman" w:cs="Times New Roman"/>
          <w:sz w:val="24"/>
        </w:rPr>
      </w:pPr>
      <w:r>
        <w:rPr>
          <w:rFonts w:ascii="Times New Roman" w:hAnsi="Times New Roman" w:cs="Times New Roman"/>
          <w:sz w:val="24"/>
        </w:rPr>
        <w:t xml:space="preserve">A Coordenadoria de Gestão de Contratos (IF-COGES), desenvolveu uma ferramenta automatizada elaborada em planilha eletrônica, com objetivo de integrar os procedimentos de fiscalização administrativa </w:t>
      </w:r>
      <w:r w:rsidR="000B791F">
        <w:rPr>
          <w:rFonts w:ascii="Times New Roman" w:hAnsi="Times New Roman" w:cs="Times New Roman"/>
          <w:sz w:val="24"/>
        </w:rPr>
        <w:t xml:space="preserve">com a gestão da Conta-Depósito Vinculada – bloqueada para movimentação. </w:t>
      </w:r>
    </w:p>
    <w:p w14:paraId="63D296A0" w14:textId="1247FB99" w:rsidR="000B791F" w:rsidRDefault="000B791F" w:rsidP="00746ADB">
      <w:pPr>
        <w:spacing w:after="0"/>
        <w:ind w:firstLine="708"/>
        <w:jc w:val="both"/>
        <w:rPr>
          <w:rFonts w:ascii="Times New Roman" w:hAnsi="Times New Roman" w:cs="Times New Roman"/>
          <w:sz w:val="24"/>
        </w:rPr>
      </w:pPr>
      <w:r>
        <w:rPr>
          <w:rFonts w:ascii="Times New Roman" w:hAnsi="Times New Roman" w:cs="Times New Roman"/>
          <w:sz w:val="24"/>
        </w:rPr>
        <w:t>Para um melhor entendimento da ferramenta, a “pasta de trabalho” está dividida em diferentes “planilhas”, sendo a primeira a planilha “DADOS”, seguido das planilhas “PARCELAS”, “FÉIRAS”, “13º”, “RESCISÕES”, “</w:t>
      </w:r>
      <w:r w:rsidR="007E398C">
        <w:rPr>
          <w:rFonts w:ascii="Times New Roman" w:hAnsi="Times New Roman" w:cs="Times New Roman"/>
          <w:sz w:val="24"/>
        </w:rPr>
        <w:t>CHECK</w:t>
      </w:r>
      <w:r>
        <w:rPr>
          <w:rFonts w:ascii="Times New Roman" w:hAnsi="Times New Roman" w:cs="Times New Roman"/>
          <w:sz w:val="24"/>
        </w:rPr>
        <w:t>LIST” e “PARCELA 1” e assim sucessivamente até a “PARCELA 72”</w:t>
      </w:r>
      <w:r w:rsidR="007E398C">
        <w:rPr>
          <w:rFonts w:ascii="Times New Roman" w:hAnsi="Times New Roman" w:cs="Times New Roman"/>
          <w:sz w:val="24"/>
        </w:rPr>
        <w:t>.</w:t>
      </w:r>
    </w:p>
    <w:p w14:paraId="6E8BD094" w14:textId="709EDCE9" w:rsidR="007E398C" w:rsidRDefault="00746ADB" w:rsidP="00746ADB">
      <w:pPr>
        <w:ind w:firstLine="708"/>
        <w:jc w:val="both"/>
        <w:rPr>
          <w:rFonts w:ascii="Times New Roman" w:hAnsi="Times New Roman" w:cs="Times New Roman"/>
          <w:sz w:val="24"/>
        </w:rPr>
      </w:pPr>
      <w:r>
        <w:rPr>
          <w:rFonts w:ascii="Times New Roman" w:hAnsi="Times New Roman" w:cs="Times New Roman"/>
          <w:sz w:val="24"/>
        </w:rPr>
        <w:t xml:space="preserve">A ferramenta poderá sofrer atualizações e incorporações de melhorias e sugestões das equipes de gestão da execução contratual do </w:t>
      </w:r>
      <w:proofErr w:type="spellStart"/>
      <w:r>
        <w:rPr>
          <w:rFonts w:ascii="Times New Roman" w:hAnsi="Times New Roman" w:cs="Times New Roman"/>
          <w:sz w:val="24"/>
        </w:rPr>
        <w:t>IFSul</w:t>
      </w:r>
      <w:proofErr w:type="spellEnd"/>
      <w:r>
        <w:rPr>
          <w:rFonts w:ascii="Times New Roman" w:hAnsi="Times New Roman" w:cs="Times New Roman"/>
          <w:sz w:val="24"/>
        </w:rPr>
        <w:t xml:space="preserve">. </w:t>
      </w:r>
      <w:r w:rsidR="007E398C">
        <w:rPr>
          <w:rFonts w:ascii="Times New Roman" w:hAnsi="Times New Roman" w:cs="Times New Roman"/>
          <w:sz w:val="24"/>
        </w:rPr>
        <w:t>Na sequência serão tratadas cada um dos tipos de planilhas e seu modo de utilização.</w:t>
      </w:r>
    </w:p>
    <w:p w14:paraId="1B42C9F5" w14:textId="5151F6B3" w:rsidR="007E398C" w:rsidRPr="004C4A09" w:rsidRDefault="007E398C" w:rsidP="007E398C">
      <w:pPr>
        <w:pStyle w:val="PargrafodaLista"/>
        <w:numPr>
          <w:ilvl w:val="0"/>
          <w:numId w:val="13"/>
        </w:numPr>
        <w:jc w:val="both"/>
        <w:rPr>
          <w:rFonts w:ascii="Times New Roman" w:hAnsi="Times New Roman" w:cs="Times New Roman"/>
          <w:b/>
          <w:sz w:val="24"/>
        </w:rPr>
      </w:pPr>
      <w:r w:rsidRPr="004C4A09">
        <w:rPr>
          <w:rFonts w:ascii="Times New Roman" w:hAnsi="Times New Roman" w:cs="Times New Roman"/>
          <w:b/>
          <w:sz w:val="24"/>
        </w:rPr>
        <w:t>Planilha DADOS:</w:t>
      </w:r>
    </w:p>
    <w:p w14:paraId="507219ED" w14:textId="4B192AD8" w:rsidR="007E398C" w:rsidRPr="00B23A7E" w:rsidRDefault="007E398C" w:rsidP="00B23A7E">
      <w:pPr>
        <w:ind w:firstLine="708"/>
        <w:jc w:val="both"/>
        <w:rPr>
          <w:rFonts w:ascii="Times New Roman" w:hAnsi="Times New Roman" w:cs="Times New Roman"/>
          <w:sz w:val="24"/>
        </w:rPr>
      </w:pPr>
      <w:r w:rsidRPr="00B23A7E">
        <w:rPr>
          <w:rFonts w:ascii="Times New Roman" w:hAnsi="Times New Roman" w:cs="Times New Roman"/>
          <w:sz w:val="24"/>
        </w:rPr>
        <w:t>Na planilha DADOS, é onde devem ser inseridas todas as informações referentes aos dados da Conta-Depósito Vinculada – bloqueada para movimentação, tais como</w:t>
      </w:r>
      <w:r w:rsidR="00B23A7E" w:rsidRPr="00B23A7E">
        <w:rPr>
          <w:rFonts w:ascii="Times New Roman" w:hAnsi="Times New Roman" w:cs="Times New Roman"/>
          <w:sz w:val="24"/>
        </w:rPr>
        <w:t>: número do contrato, objeto, contratada e CNPJ.</w:t>
      </w:r>
      <w:r w:rsidR="00B23A7E">
        <w:rPr>
          <w:rFonts w:ascii="Times New Roman" w:hAnsi="Times New Roman" w:cs="Times New Roman"/>
          <w:sz w:val="24"/>
        </w:rPr>
        <w:t xml:space="preserve"> A figura 1, demonstra os dados a serem inseridos</w:t>
      </w:r>
    </w:p>
    <w:p w14:paraId="5DB253D9" w14:textId="77777777" w:rsidR="00EF6E28" w:rsidRDefault="007E398C" w:rsidP="00EF6E28">
      <w:pPr>
        <w:keepNext/>
        <w:jc w:val="both"/>
      </w:pPr>
      <w:r w:rsidRPr="007E398C">
        <w:rPr>
          <w:noProof/>
          <w:lang w:eastAsia="pt-BR"/>
        </w:rPr>
        <w:drawing>
          <wp:inline distT="0" distB="0" distL="0" distR="0" wp14:anchorId="1FE2718F" wp14:editId="13829F6F">
            <wp:extent cx="5760085" cy="966232"/>
            <wp:effectExtent l="0" t="0" r="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966232"/>
                    </a:xfrm>
                    <a:prstGeom prst="rect">
                      <a:avLst/>
                    </a:prstGeom>
                    <a:noFill/>
                    <a:ln>
                      <a:noFill/>
                    </a:ln>
                  </pic:spPr>
                </pic:pic>
              </a:graphicData>
            </a:graphic>
          </wp:inline>
        </w:drawing>
      </w:r>
    </w:p>
    <w:p w14:paraId="7C2A6865" w14:textId="307CF848" w:rsidR="007E398C" w:rsidRPr="00746ADB" w:rsidRDefault="00EF6E28" w:rsidP="00EF6E28">
      <w:pPr>
        <w:pStyle w:val="Legenda"/>
        <w:jc w:val="center"/>
        <w:rPr>
          <w:rFonts w:ascii="Times New Roman" w:hAnsi="Times New Roman" w:cs="Times New Roman"/>
          <w:color w:val="auto"/>
          <w:sz w:val="24"/>
        </w:rPr>
      </w:pPr>
      <w:r w:rsidRPr="00746ADB">
        <w:rPr>
          <w:rFonts w:ascii="Times New Roman" w:hAnsi="Times New Roman" w:cs="Times New Roman"/>
          <w:color w:val="auto"/>
        </w:rPr>
        <w:t xml:space="preserve">Figura </w:t>
      </w:r>
      <w:r w:rsidRPr="00746ADB">
        <w:rPr>
          <w:rFonts w:ascii="Times New Roman" w:hAnsi="Times New Roman" w:cs="Times New Roman"/>
          <w:color w:val="auto"/>
        </w:rPr>
        <w:fldChar w:fldCharType="begin"/>
      </w:r>
      <w:r w:rsidRPr="00746ADB">
        <w:rPr>
          <w:rFonts w:ascii="Times New Roman" w:hAnsi="Times New Roman" w:cs="Times New Roman"/>
          <w:color w:val="auto"/>
        </w:rPr>
        <w:instrText xml:space="preserve"> SEQ Figura \* ARABIC </w:instrText>
      </w:r>
      <w:r w:rsidRPr="00746ADB">
        <w:rPr>
          <w:rFonts w:ascii="Times New Roman" w:hAnsi="Times New Roman" w:cs="Times New Roman"/>
          <w:color w:val="auto"/>
        </w:rPr>
        <w:fldChar w:fldCharType="separate"/>
      </w:r>
      <w:r w:rsidR="004D7A91">
        <w:rPr>
          <w:rFonts w:ascii="Times New Roman" w:hAnsi="Times New Roman" w:cs="Times New Roman"/>
          <w:noProof/>
          <w:color w:val="auto"/>
        </w:rPr>
        <w:t>1</w:t>
      </w:r>
      <w:r w:rsidRPr="00746ADB">
        <w:rPr>
          <w:rFonts w:ascii="Times New Roman" w:hAnsi="Times New Roman" w:cs="Times New Roman"/>
          <w:color w:val="auto"/>
        </w:rPr>
        <w:fldChar w:fldCharType="end"/>
      </w:r>
      <w:r w:rsidRPr="00746ADB">
        <w:rPr>
          <w:rFonts w:ascii="Times New Roman" w:hAnsi="Times New Roman" w:cs="Times New Roman"/>
          <w:color w:val="auto"/>
        </w:rPr>
        <w:t xml:space="preserve"> - Dados da Conta Vinculada</w:t>
      </w:r>
    </w:p>
    <w:p w14:paraId="60344BEF" w14:textId="7F3486B5" w:rsidR="007E398C" w:rsidRDefault="00B23A7E" w:rsidP="002C40E9">
      <w:pPr>
        <w:spacing w:after="0"/>
        <w:jc w:val="both"/>
        <w:rPr>
          <w:rFonts w:ascii="Times New Roman" w:hAnsi="Times New Roman" w:cs="Times New Roman"/>
          <w:sz w:val="24"/>
        </w:rPr>
      </w:pPr>
      <w:r>
        <w:rPr>
          <w:rFonts w:ascii="Times New Roman" w:hAnsi="Times New Roman" w:cs="Times New Roman"/>
          <w:sz w:val="24"/>
        </w:rPr>
        <w:tab/>
        <w:t xml:space="preserve">Também deve ser informado o número do </w:t>
      </w:r>
      <w:r w:rsidR="00746ADB" w:rsidRPr="00084C3D">
        <w:rPr>
          <w:rFonts w:ascii="Times New Roman" w:hAnsi="Times New Roman" w:cs="Times New Roman"/>
          <w:noProof/>
          <w:sz w:val="24"/>
          <w:szCs w:val="24"/>
          <w:lang w:eastAsia="pt-BR"/>
        </w:rPr>
        <w:t xml:space="preserve">Ofício de Cadastramento </w:t>
      </w:r>
      <w:r w:rsidR="00746ADB">
        <w:rPr>
          <w:rFonts w:ascii="Times New Roman" w:hAnsi="Times New Roman" w:cs="Times New Roman"/>
          <w:noProof/>
          <w:sz w:val="24"/>
          <w:szCs w:val="24"/>
          <w:lang w:eastAsia="pt-BR"/>
        </w:rPr>
        <w:t>de Conta-Depósito Vinculada (Apêndice VII)</w:t>
      </w:r>
      <w:r>
        <w:rPr>
          <w:rFonts w:ascii="Times New Roman" w:hAnsi="Times New Roman" w:cs="Times New Roman"/>
          <w:sz w:val="24"/>
        </w:rPr>
        <w:t xml:space="preserve"> encaminhado ao banco para abertura da conta vinculada, e também o número do processo eletrônico</w:t>
      </w:r>
      <w:r w:rsidR="00746ADB">
        <w:rPr>
          <w:rFonts w:ascii="Times New Roman" w:hAnsi="Times New Roman" w:cs="Times New Roman"/>
          <w:sz w:val="24"/>
        </w:rPr>
        <w:t>, gerado no SUAP,</w:t>
      </w:r>
      <w:r>
        <w:rPr>
          <w:rFonts w:ascii="Times New Roman" w:hAnsi="Times New Roman" w:cs="Times New Roman"/>
          <w:sz w:val="24"/>
        </w:rPr>
        <w:t xml:space="preserve"> de gestão da conta vinculada.</w:t>
      </w:r>
    </w:p>
    <w:p w14:paraId="69665DCB" w14:textId="473B34A1" w:rsidR="00B23A7E" w:rsidRDefault="00746ADB" w:rsidP="002C40E9">
      <w:pPr>
        <w:spacing w:after="0"/>
        <w:jc w:val="both"/>
        <w:rPr>
          <w:rFonts w:ascii="Times New Roman" w:hAnsi="Times New Roman" w:cs="Times New Roman"/>
          <w:sz w:val="24"/>
        </w:rPr>
      </w:pPr>
      <w:r>
        <w:rPr>
          <w:rFonts w:ascii="Times New Roman" w:hAnsi="Times New Roman" w:cs="Times New Roman"/>
          <w:sz w:val="24"/>
        </w:rPr>
        <w:tab/>
        <w:t>O processo gerado</w:t>
      </w:r>
      <w:r w:rsidR="00B23A7E">
        <w:rPr>
          <w:rFonts w:ascii="Times New Roman" w:hAnsi="Times New Roman" w:cs="Times New Roman"/>
          <w:sz w:val="24"/>
        </w:rPr>
        <w:t xml:space="preserve"> no SUAP, de ges</w:t>
      </w:r>
      <w:r>
        <w:rPr>
          <w:rFonts w:ascii="Times New Roman" w:hAnsi="Times New Roman" w:cs="Times New Roman"/>
          <w:sz w:val="24"/>
        </w:rPr>
        <w:t>tão da conta vinculada, é criado</w:t>
      </w:r>
      <w:r w:rsidR="00B23A7E">
        <w:rPr>
          <w:rFonts w:ascii="Times New Roman" w:hAnsi="Times New Roman" w:cs="Times New Roman"/>
          <w:sz w:val="24"/>
        </w:rPr>
        <w:t xml:space="preserve"> pelo </w:t>
      </w:r>
      <w:r>
        <w:rPr>
          <w:rFonts w:ascii="Times New Roman" w:hAnsi="Times New Roman" w:cs="Times New Roman"/>
          <w:sz w:val="24"/>
        </w:rPr>
        <w:t>Núcleo de Procedimentos C</w:t>
      </w:r>
      <w:r w:rsidR="00B23A7E">
        <w:rPr>
          <w:rFonts w:ascii="Times New Roman" w:hAnsi="Times New Roman" w:cs="Times New Roman"/>
          <w:sz w:val="24"/>
        </w:rPr>
        <w:t xml:space="preserve">ontratuais quando da </w:t>
      </w:r>
      <w:r>
        <w:rPr>
          <w:rFonts w:ascii="Times New Roman" w:hAnsi="Times New Roman" w:cs="Times New Roman"/>
          <w:sz w:val="24"/>
        </w:rPr>
        <w:t>formalização</w:t>
      </w:r>
      <w:r w:rsidR="00B23A7E">
        <w:rPr>
          <w:rFonts w:ascii="Times New Roman" w:hAnsi="Times New Roman" w:cs="Times New Roman"/>
          <w:sz w:val="24"/>
        </w:rPr>
        <w:t xml:space="preserve"> do contrato e</w:t>
      </w:r>
      <w:r>
        <w:rPr>
          <w:rFonts w:ascii="Times New Roman" w:hAnsi="Times New Roman" w:cs="Times New Roman"/>
          <w:sz w:val="24"/>
        </w:rPr>
        <w:t xml:space="preserve"> nele,</w:t>
      </w:r>
      <w:r w:rsidR="00B23A7E">
        <w:rPr>
          <w:rFonts w:ascii="Times New Roman" w:hAnsi="Times New Roman" w:cs="Times New Roman"/>
          <w:sz w:val="24"/>
        </w:rPr>
        <w:t xml:space="preserve"> anexado o ofício de cadastramento da conta junto a instituição financeira.</w:t>
      </w:r>
    </w:p>
    <w:p w14:paraId="7F0DFA29" w14:textId="77777777" w:rsidR="00E37014" w:rsidRDefault="00746ADB" w:rsidP="00B23A7E">
      <w:pPr>
        <w:jc w:val="both"/>
        <w:rPr>
          <w:rFonts w:ascii="Times New Roman" w:hAnsi="Times New Roman" w:cs="Times New Roman"/>
          <w:sz w:val="24"/>
        </w:rPr>
      </w:pPr>
      <w:r>
        <w:rPr>
          <w:rFonts w:ascii="Times New Roman" w:hAnsi="Times New Roman" w:cs="Times New Roman"/>
          <w:sz w:val="24"/>
        </w:rPr>
        <w:tab/>
        <w:t>Tão logo o Núcleo de P</w:t>
      </w:r>
      <w:r w:rsidR="00B23A7E">
        <w:rPr>
          <w:rFonts w:ascii="Times New Roman" w:hAnsi="Times New Roman" w:cs="Times New Roman"/>
          <w:sz w:val="24"/>
        </w:rPr>
        <w:t>rocedimentos</w:t>
      </w:r>
      <w:r>
        <w:rPr>
          <w:rFonts w:ascii="Times New Roman" w:hAnsi="Times New Roman" w:cs="Times New Roman"/>
          <w:sz w:val="24"/>
        </w:rPr>
        <w:t xml:space="preserve"> Contratuais</w:t>
      </w:r>
      <w:r w:rsidR="00E37014">
        <w:rPr>
          <w:rFonts w:ascii="Times New Roman" w:hAnsi="Times New Roman" w:cs="Times New Roman"/>
          <w:sz w:val="24"/>
        </w:rPr>
        <w:t xml:space="preserve">, conclua a formalização do novo contrato, deve encaminhar à </w:t>
      </w:r>
      <w:r w:rsidR="00B23A7E">
        <w:rPr>
          <w:rFonts w:ascii="Times New Roman" w:hAnsi="Times New Roman" w:cs="Times New Roman"/>
          <w:sz w:val="24"/>
        </w:rPr>
        <w:t>fiscalização administrativa</w:t>
      </w:r>
      <w:r w:rsidR="00E37014">
        <w:rPr>
          <w:rFonts w:ascii="Times New Roman" w:hAnsi="Times New Roman" w:cs="Times New Roman"/>
          <w:sz w:val="24"/>
        </w:rPr>
        <w:t xml:space="preserve"> </w:t>
      </w:r>
      <w:r w:rsidR="00B23A7E">
        <w:rPr>
          <w:rFonts w:ascii="Times New Roman" w:hAnsi="Times New Roman" w:cs="Times New Roman"/>
          <w:sz w:val="24"/>
        </w:rPr>
        <w:t xml:space="preserve">o processo de </w:t>
      </w:r>
      <w:r w:rsidR="00E37014">
        <w:rPr>
          <w:rFonts w:ascii="Times New Roman" w:hAnsi="Times New Roman" w:cs="Times New Roman"/>
          <w:sz w:val="24"/>
        </w:rPr>
        <w:t>gestão da conta vinculada contendo:</w:t>
      </w:r>
    </w:p>
    <w:p w14:paraId="630B4072" w14:textId="729AE839" w:rsidR="00E37014" w:rsidRPr="00E37014" w:rsidRDefault="00E37014" w:rsidP="004C4E56">
      <w:pPr>
        <w:pStyle w:val="PargrafodaLista"/>
        <w:numPr>
          <w:ilvl w:val="0"/>
          <w:numId w:val="14"/>
        </w:numPr>
        <w:spacing w:line="276" w:lineRule="auto"/>
        <w:jc w:val="both"/>
        <w:rPr>
          <w:rFonts w:ascii="Times New Roman" w:hAnsi="Times New Roman" w:cs="Times New Roman"/>
          <w:sz w:val="24"/>
        </w:rPr>
      </w:pPr>
      <w:r w:rsidRPr="00E37014">
        <w:rPr>
          <w:rFonts w:ascii="Times New Roman" w:hAnsi="Times New Roman" w:cs="Times New Roman"/>
          <w:noProof/>
          <w:sz w:val="24"/>
          <w:szCs w:val="24"/>
          <w:lang w:eastAsia="pt-BR"/>
        </w:rPr>
        <w:lastRenderedPageBreak/>
        <w:t>Ofício de Cadastramento de Conta-Depósito Vinculada (Apêndice VII)</w:t>
      </w:r>
      <w:r>
        <w:rPr>
          <w:rFonts w:ascii="Times New Roman" w:hAnsi="Times New Roman" w:cs="Times New Roman"/>
          <w:noProof/>
          <w:sz w:val="24"/>
          <w:szCs w:val="24"/>
          <w:lang w:eastAsia="pt-BR"/>
        </w:rPr>
        <w:t>;</w:t>
      </w:r>
    </w:p>
    <w:p w14:paraId="2F0CCC3D" w14:textId="77777777" w:rsidR="00E37014" w:rsidRPr="00E37014" w:rsidRDefault="00E37014" w:rsidP="004C4E56">
      <w:pPr>
        <w:pStyle w:val="PargrafodaLista"/>
        <w:numPr>
          <w:ilvl w:val="0"/>
          <w:numId w:val="14"/>
        </w:numPr>
        <w:spacing w:line="276" w:lineRule="auto"/>
        <w:jc w:val="both"/>
        <w:rPr>
          <w:rFonts w:ascii="Times New Roman" w:hAnsi="Times New Roman" w:cs="Times New Roman"/>
          <w:sz w:val="24"/>
        </w:rPr>
      </w:pPr>
      <w:r w:rsidRPr="00355852">
        <w:rPr>
          <w:rFonts w:ascii="Times New Roman" w:hAnsi="Times New Roman" w:cs="Times New Roman"/>
          <w:noProof/>
          <w:sz w:val="24"/>
          <w:szCs w:val="24"/>
          <w:lang w:eastAsia="pt-BR"/>
        </w:rPr>
        <w:t xml:space="preserve">Ofício de </w:t>
      </w:r>
      <w:r>
        <w:rPr>
          <w:rFonts w:ascii="Times New Roman" w:hAnsi="Times New Roman" w:cs="Times New Roman"/>
          <w:sz w:val="24"/>
          <w:szCs w:val="24"/>
        </w:rPr>
        <w:t>Comunicação de A</w:t>
      </w:r>
      <w:r w:rsidRPr="0015487D">
        <w:rPr>
          <w:rFonts w:ascii="Times New Roman" w:hAnsi="Times New Roman" w:cs="Times New Roman"/>
          <w:sz w:val="24"/>
          <w:szCs w:val="24"/>
        </w:rPr>
        <w:t>bertura da Conta-Depósito Vinculada (Apêndice X)</w:t>
      </w:r>
      <w:r>
        <w:rPr>
          <w:rFonts w:ascii="Times New Roman" w:hAnsi="Times New Roman" w:cs="Times New Roman"/>
          <w:sz w:val="24"/>
          <w:szCs w:val="24"/>
        </w:rPr>
        <w:t>.</w:t>
      </w:r>
    </w:p>
    <w:p w14:paraId="3EB60F0E" w14:textId="57FE54FC" w:rsidR="00E37014" w:rsidRPr="00084C3D" w:rsidRDefault="00E37014" w:rsidP="004C4E56">
      <w:pPr>
        <w:pStyle w:val="PargrafodaLista"/>
        <w:numPr>
          <w:ilvl w:val="0"/>
          <w:numId w:val="14"/>
        </w:numPr>
        <w:spacing w:line="276" w:lineRule="auto"/>
        <w:jc w:val="both"/>
        <w:rPr>
          <w:rFonts w:ascii="Times New Roman" w:hAnsi="Times New Roman" w:cs="Times New Roman"/>
          <w:sz w:val="24"/>
        </w:rPr>
      </w:pPr>
      <w:r w:rsidRPr="00084C3D">
        <w:rPr>
          <w:rFonts w:ascii="Times New Roman" w:hAnsi="Times New Roman" w:cs="Times New Roman"/>
          <w:noProof/>
          <w:sz w:val="24"/>
          <w:szCs w:val="24"/>
          <w:lang w:eastAsia="pt-BR"/>
        </w:rPr>
        <w:t>Instruções de Utilização da Ferramenta de Gestão da Conta</w:t>
      </w:r>
      <w:r w:rsidR="00DE093E" w:rsidRPr="00084C3D">
        <w:rPr>
          <w:rFonts w:ascii="Times New Roman" w:hAnsi="Times New Roman" w:cs="Times New Roman"/>
          <w:noProof/>
          <w:sz w:val="24"/>
          <w:szCs w:val="24"/>
          <w:lang w:eastAsia="pt-BR"/>
        </w:rPr>
        <w:t>-Depósito</w:t>
      </w:r>
      <w:r w:rsidRPr="00084C3D">
        <w:rPr>
          <w:rFonts w:ascii="Times New Roman" w:hAnsi="Times New Roman" w:cs="Times New Roman"/>
          <w:noProof/>
          <w:sz w:val="24"/>
          <w:szCs w:val="24"/>
          <w:lang w:eastAsia="pt-BR"/>
        </w:rPr>
        <w:t xml:space="preserve"> Vinculada (Apêndice</w:t>
      </w:r>
      <w:r w:rsidR="008C7612" w:rsidRPr="00084C3D">
        <w:rPr>
          <w:rFonts w:ascii="Times New Roman" w:hAnsi="Times New Roman" w:cs="Times New Roman"/>
          <w:noProof/>
          <w:sz w:val="24"/>
          <w:szCs w:val="24"/>
          <w:lang w:eastAsia="pt-BR"/>
        </w:rPr>
        <w:t xml:space="preserve"> LIV</w:t>
      </w:r>
      <w:r w:rsidRPr="00084C3D">
        <w:rPr>
          <w:rFonts w:ascii="Times New Roman" w:hAnsi="Times New Roman" w:cs="Times New Roman"/>
          <w:noProof/>
          <w:sz w:val="24"/>
          <w:szCs w:val="24"/>
          <w:lang w:eastAsia="pt-BR"/>
        </w:rPr>
        <w:t>).</w:t>
      </w:r>
    </w:p>
    <w:p w14:paraId="06474FE7" w14:textId="657A3B5F" w:rsidR="00B23A7E" w:rsidRPr="00084C3D" w:rsidRDefault="00E37014" w:rsidP="00E37014">
      <w:pPr>
        <w:ind w:firstLine="708"/>
        <w:jc w:val="both"/>
        <w:rPr>
          <w:rFonts w:ascii="Times New Roman" w:hAnsi="Times New Roman" w:cs="Times New Roman"/>
          <w:sz w:val="24"/>
        </w:rPr>
      </w:pPr>
      <w:r w:rsidRPr="00084C3D">
        <w:rPr>
          <w:rFonts w:ascii="Times New Roman" w:hAnsi="Times New Roman" w:cs="Times New Roman"/>
          <w:sz w:val="24"/>
        </w:rPr>
        <w:t>Também deve ser encaminhado por e-mail à fiscalização administrativa as seguintes planilhas eletrônicas:</w:t>
      </w:r>
    </w:p>
    <w:p w14:paraId="1553C750" w14:textId="05DCCC03" w:rsidR="00E37014" w:rsidRPr="00084C3D" w:rsidRDefault="00E37014" w:rsidP="004C4E56">
      <w:pPr>
        <w:pStyle w:val="PargrafodaLista"/>
        <w:numPr>
          <w:ilvl w:val="0"/>
          <w:numId w:val="16"/>
        </w:numPr>
        <w:spacing w:line="276" w:lineRule="auto"/>
        <w:jc w:val="both"/>
        <w:rPr>
          <w:rFonts w:ascii="Times New Roman" w:hAnsi="Times New Roman" w:cs="Times New Roman"/>
          <w:noProof/>
          <w:sz w:val="24"/>
          <w:szCs w:val="24"/>
          <w:lang w:eastAsia="pt-BR"/>
        </w:rPr>
      </w:pPr>
      <w:r w:rsidRPr="00084C3D">
        <w:rPr>
          <w:rFonts w:ascii="Times New Roman" w:hAnsi="Times New Roman" w:cs="Times New Roman"/>
          <w:sz w:val="24"/>
          <w:szCs w:val="24"/>
        </w:rPr>
        <w:t xml:space="preserve">Ferramenta de </w:t>
      </w:r>
      <w:r w:rsidR="00DE093E" w:rsidRPr="00084C3D">
        <w:rPr>
          <w:rFonts w:ascii="Times New Roman" w:hAnsi="Times New Roman" w:cs="Times New Roman"/>
          <w:sz w:val="24"/>
          <w:szCs w:val="24"/>
        </w:rPr>
        <w:t xml:space="preserve">Gestão </w:t>
      </w:r>
      <w:r w:rsidR="008C7612" w:rsidRPr="00084C3D">
        <w:rPr>
          <w:rFonts w:ascii="Times New Roman" w:hAnsi="Times New Roman" w:cs="Times New Roman"/>
          <w:sz w:val="24"/>
          <w:szCs w:val="24"/>
        </w:rPr>
        <w:t xml:space="preserve">– </w:t>
      </w:r>
      <w:r w:rsidR="00DE093E" w:rsidRPr="00084C3D">
        <w:rPr>
          <w:rFonts w:ascii="Times New Roman" w:hAnsi="Times New Roman" w:cs="Times New Roman"/>
          <w:sz w:val="24"/>
          <w:szCs w:val="24"/>
        </w:rPr>
        <w:t xml:space="preserve">C-DV </w:t>
      </w:r>
      <w:proofErr w:type="spellStart"/>
      <w:r w:rsidR="00DE093E" w:rsidRPr="00084C3D">
        <w:rPr>
          <w:rFonts w:ascii="Times New Roman" w:hAnsi="Times New Roman" w:cs="Times New Roman"/>
          <w:sz w:val="24"/>
          <w:szCs w:val="24"/>
        </w:rPr>
        <w:t>IFSul</w:t>
      </w:r>
      <w:proofErr w:type="spellEnd"/>
      <w:r w:rsidR="00DE093E" w:rsidRPr="00084C3D">
        <w:rPr>
          <w:rFonts w:ascii="Times New Roman" w:hAnsi="Times New Roman" w:cs="Times New Roman"/>
          <w:sz w:val="24"/>
          <w:szCs w:val="24"/>
        </w:rPr>
        <w:t xml:space="preserve"> (Apêndice</w:t>
      </w:r>
      <w:r w:rsidR="008C7612" w:rsidRPr="00084C3D">
        <w:rPr>
          <w:rFonts w:ascii="Times New Roman" w:hAnsi="Times New Roman" w:cs="Times New Roman"/>
          <w:sz w:val="24"/>
          <w:szCs w:val="24"/>
        </w:rPr>
        <w:t xml:space="preserve"> L</w:t>
      </w:r>
      <w:r w:rsidRPr="00084C3D">
        <w:rPr>
          <w:rFonts w:ascii="Times New Roman" w:hAnsi="Times New Roman" w:cs="Times New Roman"/>
          <w:sz w:val="24"/>
          <w:szCs w:val="24"/>
        </w:rPr>
        <w:t>);</w:t>
      </w:r>
    </w:p>
    <w:p w14:paraId="4A11F22C" w14:textId="6BB06A67" w:rsidR="00E37014" w:rsidRPr="00084C3D" w:rsidRDefault="00E37014" w:rsidP="004C4E56">
      <w:pPr>
        <w:pStyle w:val="PargrafodaLista"/>
        <w:numPr>
          <w:ilvl w:val="0"/>
          <w:numId w:val="16"/>
        </w:numPr>
        <w:spacing w:line="276" w:lineRule="auto"/>
        <w:jc w:val="both"/>
        <w:rPr>
          <w:rFonts w:ascii="Times New Roman" w:hAnsi="Times New Roman" w:cs="Times New Roman"/>
          <w:noProof/>
          <w:sz w:val="24"/>
          <w:szCs w:val="24"/>
          <w:lang w:eastAsia="pt-BR"/>
        </w:rPr>
      </w:pPr>
      <w:r w:rsidRPr="00084C3D">
        <w:rPr>
          <w:rFonts w:ascii="Times New Roman" w:hAnsi="Times New Roman" w:cs="Times New Roman"/>
          <w:noProof/>
          <w:sz w:val="24"/>
          <w:szCs w:val="24"/>
          <w:lang w:eastAsia="pt-BR"/>
        </w:rPr>
        <w:t xml:space="preserve">Modelo de Liberação de Férias </w:t>
      </w:r>
      <w:r w:rsidR="00DE093E" w:rsidRPr="00084C3D">
        <w:rPr>
          <w:rFonts w:ascii="Times New Roman" w:hAnsi="Times New Roman" w:cs="Times New Roman"/>
          <w:noProof/>
          <w:sz w:val="24"/>
          <w:szCs w:val="24"/>
          <w:lang w:eastAsia="pt-BR"/>
        </w:rPr>
        <w:t>–</w:t>
      </w:r>
      <w:r w:rsidRPr="00084C3D">
        <w:rPr>
          <w:rFonts w:ascii="Times New Roman" w:hAnsi="Times New Roman" w:cs="Times New Roman"/>
          <w:noProof/>
          <w:sz w:val="24"/>
          <w:szCs w:val="24"/>
          <w:lang w:eastAsia="pt-BR"/>
        </w:rPr>
        <w:t xml:space="preserve"> C-DV IFSul</w:t>
      </w:r>
      <w:r w:rsidR="008C7612" w:rsidRPr="00084C3D">
        <w:rPr>
          <w:rFonts w:ascii="Times New Roman" w:hAnsi="Times New Roman" w:cs="Times New Roman"/>
          <w:noProof/>
          <w:sz w:val="24"/>
          <w:szCs w:val="24"/>
          <w:lang w:eastAsia="pt-BR"/>
        </w:rPr>
        <w:t xml:space="preserve"> (Apêndice LI</w:t>
      </w:r>
      <w:r w:rsidRPr="00084C3D">
        <w:rPr>
          <w:rFonts w:ascii="Times New Roman" w:hAnsi="Times New Roman" w:cs="Times New Roman"/>
          <w:noProof/>
          <w:sz w:val="24"/>
          <w:szCs w:val="24"/>
          <w:lang w:eastAsia="pt-BR"/>
        </w:rPr>
        <w:t>);</w:t>
      </w:r>
    </w:p>
    <w:p w14:paraId="2D845EF9" w14:textId="10861ACB" w:rsidR="00E37014" w:rsidRPr="00084C3D" w:rsidRDefault="00E37014" w:rsidP="004C4E56">
      <w:pPr>
        <w:pStyle w:val="PargrafodaLista"/>
        <w:numPr>
          <w:ilvl w:val="0"/>
          <w:numId w:val="16"/>
        </w:numPr>
        <w:spacing w:line="276" w:lineRule="auto"/>
        <w:jc w:val="both"/>
        <w:rPr>
          <w:rFonts w:ascii="Times New Roman" w:hAnsi="Times New Roman" w:cs="Times New Roman"/>
          <w:noProof/>
          <w:sz w:val="24"/>
          <w:szCs w:val="24"/>
          <w:lang w:eastAsia="pt-BR"/>
        </w:rPr>
      </w:pPr>
      <w:r w:rsidRPr="00084C3D">
        <w:rPr>
          <w:rFonts w:ascii="Times New Roman" w:hAnsi="Times New Roman" w:cs="Times New Roman"/>
          <w:noProof/>
          <w:sz w:val="24"/>
          <w:szCs w:val="24"/>
          <w:lang w:eastAsia="pt-BR"/>
        </w:rPr>
        <w:t xml:space="preserve">Modelo de </w:t>
      </w:r>
      <w:r w:rsidR="00DE093E" w:rsidRPr="00084C3D">
        <w:rPr>
          <w:rFonts w:ascii="Times New Roman" w:hAnsi="Times New Roman" w:cs="Times New Roman"/>
          <w:noProof/>
          <w:sz w:val="24"/>
          <w:szCs w:val="24"/>
          <w:lang w:eastAsia="pt-BR"/>
        </w:rPr>
        <w:t xml:space="preserve">Liberação de 13º Salário – </w:t>
      </w:r>
      <w:r w:rsidRPr="00084C3D">
        <w:rPr>
          <w:rFonts w:ascii="Times New Roman" w:hAnsi="Times New Roman" w:cs="Times New Roman"/>
          <w:noProof/>
          <w:sz w:val="24"/>
          <w:szCs w:val="24"/>
          <w:lang w:eastAsia="pt-BR"/>
        </w:rPr>
        <w:t>C-DV</w:t>
      </w:r>
      <w:r w:rsidR="00DE093E" w:rsidRPr="00084C3D">
        <w:rPr>
          <w:rFonts w:ascii="Times New Roman" w:hAnsi="Times New Roman" w:cs="Times New Roman"/>
          <w:noProof/>
          <w:sz w:val="24"/>
          <w:szCs w:val="24"/>
          <w:lang w:eastAsia="pt-BR"/>
        </w:rPr>
        <w:t xml:space="preserve"> </w:t>
      </w:r>
      <w:r w:rsidRPr="00084C3D">
        <w:rPr>
          <w:rFonts w:ascii="Times New Roman" w:hAnsi="Times New Roman" w:cs="Times New Roman"/>
          <w:noProof/>
          <w:sz w:val="24"/>
          <w:szCs w:val="24"/>
          <w:lang w:eastAsia="pt-BR"/>
        </w:rPr>
        <w:t xml:space="preserve"> IFSul</w:t>
      </w:r>
      <w:r w:rsidR="00DE093E" w:rsidRPr="00084C3D">
        <w:rPr>
          <w:rFonts w:ascii="Times New Roman" w:hAnsi="Times New Roman" w:cs="Times New Roman"/>
          <w:noProof/>
          <w:sz w:val="24"/>
          <w:szCs w:val="24"/>
          <w:lang w:eastAsia="pt-BR"/>
        </w:rPr>
        <w:t xml:space="preserve"> </w:t>
      </w:r>
      <w:r w:rsidR="008C7612" w:rsidRPr="00084C3D">
        <w:rPr>
          <w:rFonts w:ascii="Times New Roman" w:hAnsi="Times New Roman" w:cs="Times New Roman"/>
          <w:noProof/>
          <w:sz w:val="24"/>
          <w:szCs w:val="24"/>
          <w:lang w:eastAsia="pt-BR"/>
        </w:rPr>
        <w:t>(Apêndice LII</w:t>
      </w:r>
      <w:r w:rsidRPr="00084C3D">
        <w:rPr>
          <w:rFonts w:ascii="Times New Roman" w:hAnsi="Times New Roman" w:cs="Times New Roman"/>
          <w:noProof/>
          <w:sz w:val="24"/>
          <w:szCs w:val="24"/>
          <w:lang w:eastAsia="pt-BR"/>
        </w:rPr>
        <w:t>);</w:t>
      </w:r>
    </w:p>
    <w:p w14:paraId="1D44A5DF" w14:textId="74AFD931" w:rsidR="00E37014" w:rsidRPr="00084C3D" w:rsidRDefault="00E37014" w:rsidP="004C4E56">
      <w:pPr>
        <w:pStyle w:val="PargrafodaLista"/>
        <w:numPr>
          <w:ilvl w:val="0"/>
          <w:numId w:val="16"/>
        </w:numPr>
        <w:spacing w:line="276" w:lineRule="auto"/>
        <w:jc w:val="both"/>
        <w:rPr>
          <w:rFonts w:ascii="Times New Roman" w:hAnsi="Times New Roman" w:cs="Times New Roman"/>
          <w:sz w:val="24"/>
        </w:rPr>
      </w:pPr>
      <w:r w:rsidRPr="00084C3D">
        <w:rPr>
          <w:rFonts w:ascii="Times New Roman" w:hAnsi="Times New Roman" w:cs="Times New Roman"/>
          <w:noProof/>
          <w:sz w:val="24"/>
          <w:szCs w:val="24"/>
          <w:lang w:eastAsia="pt-BR"/>
        </w:rPr>
        <w:t xml:space="preserve">Modelo de </w:t>
      </w:r>
      <w:r w:rsidR="00DE093E" w:rsidRPr="00084C3D">
        <w:rPr>
          <w:rFonts w:ascii="Times New Roman" w:hAnsi="Times New Roman" w:cs="Times New Roman"/>
          <w:noProof/>
          <w:sz w:val="24"/>
          <w:szCs w:val="24"/>
          <w:lang w:eastAsia="pt-BR"/>
        </w:rPr>
        <w:t>Liberação de Rescisão –</w:t>
      </w:r>
      <w:r w:rsidRPr="00084C3D">
        <w:rPr>
          <w:rFonts w:ascii="Times New Roman" w:hAnsi="Times New Roman" w:cs="Times New Roman"/>
          <w:noProof/>
          <w:sz w:val="24"/>
          <w:szCs w:val="24"/>
          <w:lang w:eastAsia="pt-BR"/>
        </w:rPr>
        <w:t xml:space="preserve"> C-DV</w:t>
      </w:r>
      <w:r w:rsidR="00DE093E" w:rsidRPr="00084C3D">
        <w:rPr>
          <w:rFonts w:ascii="Times New Roman" w:hAnsi="Times New Roman" w:cs="Times New Roman"/>
          <w:noProof/>
          <w:sz w:val="24"/>
          <w:szCs w:val="24"/>
          <w:lang w:eastAsia="pt-BR"/>
        </w:rPr>
        <w:t xml:space="preserve"> </w:t>
      </w:r>
      <w:r w:rsidRPr="00084C3D">
        <w:rPr>
          <w:rFonts w:ascii="Times New Roman" w:hAnsi="Times New Roman" w:cs="Times New Roman"/>
          <w:noProof/>
          <w:sz w:val="24"/>
          <w:szCs w:val="24"/>
          <w:lang w:eastAsia="pt-BR"/>
        </w:rPr>
        <w:t>IFSul</w:t>
      </w:r>
      <w:r w:rsidR="008C7612" w:rsidRPr="00084C3D">
        <w:rPr>
          <w:rFonts w:ascii="Times New Roman" w:hAnsi="Times New Roman" w:cs="Times New Roman"/>
          <w:noProof/>
          <w:sz w:val="24"/>
          <w:szCs w:val="24"/>
          <w:lang w:eastAsia="pt-BR"/>
        </w:rPr>
        <w:t xml:space="preserve"> (Apêndice LIII</w:t>
      </w:r>
      <w:r w:rsidRPr="00084C3D">
        <w:rPr>
          <w:rFonts w:ascii="Times New Roman" w:hAnsi="Times New Roman" w:cs="Times New Roman"/>
          <w:noProof/>
          <w:sz w:val="24"/>
          <w:szCs w:val="24"/>
          <w:lang w:eastAsia="pt-BR"/>
        </w:rPr>
        <w:t>);</w:t>
      </w:r>
    </w:p>
    <w:p w14:paraId="4CFFF3E8" w14:textId="4B2A338C" w:rsidR="00EF6E28" w:rsidRDefault="00EF6E28" w:rsidP="00B23A7E">
      <w:pPr>
        <w:jc w:val="both"/>
        <w:rPr>
          <w:rFonts w:ascii="Times New Roman" w:hAnsi="Times New Roman" w:cs="Times New Roman"/>
          <w:sz w:val="24"/>
        </w:rPr>
      </w:pPr>
      <w:r>
        <w:rPr>
          <w:rFonts w:ascii="Times New Roman" w:hAnsi="Times New Roman" w:cs="Times New Roman"/>
          <w:sz w:val="24"/>
        </w:rPr>
        <w:tab/>
        <w:t>Em relação ao número da conta vinculada, esse somente é gerado após o primeiro provisionamento pelo setor financeiro, portanto a fiscalização administrativa deve aguardar alguns dias após despachar o primeiro processo de acompanhamento m</w:t>
      </w:r>
      <w:r w:rsidR="00E37014">
        <w:rPr>
          <w:rFonts w:ascii="Times New Roman" w:hAnsi="Times New Roman" w:cs="Times New Roman"/>
          <w:sz w:val="24"/>
        </w:rPr>
        <w:t>ensal do contrato para que seja possível</w:t>
      </w:r>
      <w:r>
        <w:rPr>
          <w:rFonts w:ascii="Times New Roman" w:hAnsi="Times New Roman" w:cs="Times New Roman"/>
          <w:sz w:val="24"/>
        </w:rPr>
        <w:t xml:space="preserve"> extrair o número da conta no site do BB. O </w:t>
      </w:r>
      <w:r w:rsidR="00E37014">
        <w:rPr>
          <w:rFonts w:ascii="Times New Roman" w:hAnsi="Times New Roman" w:cs="Times New Roman"/>
          <w:sz w:val="24"/>
        </w:rPr>
        <w:t>ANEXO</w:t>
      </w:r>
      <w:r>
        <w:rPr>
          <w:rFonts w:ascii="Times New Roman" w:hAnsi="Times New Roman" w:cs="Times New Roman"/>
          <w:sz w:val="24"/>
        </w:rPr>
        <w:t xml:space="preserve"> A, demonstra em forma de tutorial os procedimentos para acesso e utilização da conta na instituição financeira.</w:t>
      </w:r>
    </w:p>
    <w:p w14:paraId="6A3C4547" w14:textId="1AF3F7E6" w:rsidR="00CF7EC4" w:rsidRDefault="00EF6E28" w:rsidP="00CF7EC4">
      <w:pPr>
        <w:jc w:val="both"/>
        <w:rPr>
          <w:rFonts w:ascii="Times New Roman" w:hAnsi="Times New Roman" w:cs="Times New Roman"/>
          <w:sz w:val="24"/>
        </w:rPr>
      </w:pPr>
      <w:r>
        <w:rPr>
          <w:rFonts w:ascii="Times New Roman" w:hAnsi="Times New Roman" w:cs="Times New Roman"/>
          <w:sz w:val="24"/>
        </w:rPr>
        <w:tab/>
        <w:t xml:space="preserve">Na planilha “DADOS”, também estão dispostos os </w:t>
      </w:r>
      <w:r w:rsidR="00CF7EC4">
        <w:rPr>
          <w:rFonts w:ascii="Times New Roman" w:hAnsi="Times New Roman" w:cs="Times New Roman"/>
          <w:sz w:val="24"/>
        </w:rPr>
        <w:t>percentuais que o normativo legal determina para provisionamento dos valores mensalmente. A figura 2, demonstra a r</w:t>
      </w:r>
      <w:r w:rsidR="00CF7EC4" w:rsidRPr="00CF7EC4">
        <w:rPr>
          <w:rFonts w:ascii="Times New Roman" w:hAnsi="Times New Roman" w:cs="Times New Roman"/>
          <w:sz w:val="24"/>
        </w:rPr>
        <w:t>eserva mensal para o pagamento de encargos trabalhistas</w:t>
      </w:r>
      <w:r w:rsidR="00CF7EC4">
        <w:rPr>
          <w:rFonts w:ascii="Times New Roman" w:hAnsi="Times New Roman" w:cs="Times New Roman"/>
          <w:sz w:val="24"/>
        </w:rPr>
        <w:t xml:space="preserve"> e os percentuais</w:t>
      </w:r>
      <w:r w:rsidR="00CF7EC4" w:rsidRPr="00CF7EC4">
        <w:rPr>
          <w:rFonts w:ascii="Times New Roman" w:hAnsi="Times New Roman" w:cs="Times New Roman"/>
          <w:sz w:val="24"/>
        </w:rPr>
        <w:t xml:space="preserve"> incidente</w:t>
      </w:r>
      <w:r w:rsidR="00CF7EC4">
        <w:rPr>
          <w:rFonts w:ascii="Times New Roman" w:hAnsi="Times New Roman" w:cs="Times New Roman"/>
          <w:sz w:val="24"/>
        </w:rPr>
        <w:t>s</w:t>
      </w:r>
      <w:r w:rsidR="00CF7EC4" w:rsidRPr="00CF7EC4">
        <w:rPr>
          <w:rFonts w:ascii="Times New Roman" w:hAnsi="Times New Roman" w:cs="Times New Roman"/>
          <w:sz w:val="24"/>
        </w:rPr>
        <w:t xml:space="preserve"> sobre a remuneração</w:t>
      </w:r>
      <w:r w:rsidR="00CF7EC4">
        <w:rPr>
          <w:rFonts w:ascii="Times New Roman" w:hAnsi="Times New Roman" w:cs="Times New Roman"/>
          <w:sz w:val="24"/>
        </w:rPr>
        <w:t xml:space="preserve">, conforme Módulo 1 da Planilha de Custos e Formação de Preços do contrato. </w:t>
      </w:r>
    </w:p>
    <w:p w14:paraId="4027F060" w14:textId="77777777" w:rsidR="00CF7EC4" w:rsidRDefault="00EF6E28" w:rsidP="00CF7EC4">
      <w:pPr>
        <w:keepNext/>
        <w:jc w:val="both"/>
      </w:pPr>
      <w:r w:rsidRPr="00EF6E28">
        <w:rPr>
          <w:noProof/>
          <w:lang w:eastAsia="pt-BR"/>
        </w:rPr>
        <w:drawing>
          <wp:inline distT="0" distB="0" distL="0" distR="0" wp14:anchorId="23B5BB2E" wp14:editId="0E8C220A">
            <wp:extent cx="5760085" cy="969740"/>
            <wp:effectExtent l="0" t="0" r="0" b="190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969740"/>
                    </a:xfrm>
                    <a:prstGeom prst="rect">
                      <a:avLst/>
                    </a:prstGeom>
                    <a:noFill/>
                    <a:ln>
                      <a:noFill/>
                    </a:ln>
                  </pic:spPr>
                </pic:pic>
              </a:graphicData>
            </a:graphic>
          </wp:inline>
        </w:drawing>
      </w:r>
    </w:p>
    <w:p w14:paraId="378D2642" w14:textId="300D8E7E" w:rsidR="00EF6E28" w:rsidRPr="00DE093E" w:rsidRDefault="00CF7EC4" w:rsidP="00CF7EC4">
      <w:pPr>
        <w:pStyle w:val="Legenda"/>
        <w:jc w:val="center"/>
        <w:rPr>
          <w:rFonts w:ascii="Times New Roman" w:hAnsi="Times New Roman" w:cs="Times New Roman"/>
          <w:color w:val="auto"/>
          <w:sz w:val="24"/>
        </w:rPr>
      </w:pPr>
      <w:r w:rsidRPr="00DE093E">
        <w:rPr>
          <w:rFonts w:ascii="Times New Roman" w:hAnsi="Times New Roman" w:cs="Times New Roman"/>
          <w:color w:val="auto"/>
        </w:rPr>
        <w:t xml:space="preserve">Figura </w:t>
      </w:r>
      <w:r w:rsidRPr="00DE093E">
        <w:rPr>
          <w:rFonts w:ascii="Times New Roman" w:hAnsi="Times New Roman" w:cs="Times New Roman"/>
          <w:color w:val="auto"/>
        </w:rPr>
        <w:fldChar w:fldCharType="begin"/>
      </w:r>
      <w:r w:rsidRPr="00DE093E">
        <w:rPr>
          <w:rFonts w:ascii="Times New Roman" w:hAnsi="Times New Roman" w:cs="Times New Roman"/>
          <w:color w:val="auto"/>
        </w:rPr>
        <w:instrText xml:space="preserve"> SEQ Figura \* ARABIC </w:instrText>
      </w:r>
      <w:r w:rsidRPr="00DE093E">
        <w:rPr>
          <w:rFonts w:ascii="Times New Roman" w:hAnsi="Times New Roman" w:cs="Times New Roman"/>
          <w:color w:val="auto"/>
        </w:rPr>
        <w:fldChar w:fldCharType="separate"/>
      </w:r>
      <w:r w:rsidR="004D7A91">
        <w:rPr>
          <w:rFonts w:ascii="Times New Roman" w:hAnsi="Times New Roman" w:cs="Times New Roman"/>
          <w:noProof/>
          <w:color w:val="auto"/>
        </w:rPr>
        <w:t>2</w:t>
      </w:r>
      <w:r w:rsidRPr="00DE093E">
        <w:rPr>
          <w:rFonts w:ascii="Times New Roman" w:hAnsi="Times New Roman" w:cs="Times New Roman"/>
          <w:color w:val="auto"/>
        </w:rPr>
        <w:fldChar w:fldCharType="end"/>
      </w:r>
      <w:r w:rsidRPr="00DE093E">
        <w:rPr>
          <w:rFonts w:ascii="Times New Roman" w:hAnsi="Times New Roman" w:cs="Times New Roman"/>
          <w:color w:val="auto"/>
        </w:rPr>
        <w:t xml:space="preserve"> - Percentuais de provisionamento</w:t>
      </w:r>
    </w:p>
    <w:p w14:paraId="2EA77EA6" w14:textId="7B50CCDA" w:rsidR="00CF7EC4" w:rsidRDefault="00CF7EC4" w:rsidP="004C4E56">
      <w:pPr>
        <w:jc w:val="both"/>
        <w:rPr>
          <w:rFonts w:ascii="Times New Roman" w:hAnsi="Times New Roman" w:cs="Times New Roman"/>
          <w:sz w:val="24"/>
        </w:rPr>
      </w:pPr>
      <w:r>
        <w:rPr>
          <w:rFonts w:ascii="Times New Roman" w:hAnsi="Times New Roman" w:cs="Times New Roman"/>
          <w:sz w:val="24"/>
        </w:rPr>
        <w:tab/>
        <w:t xml:space="preserve">Por fim, a figura 3, extraída da planilha “DADOS”, </w:t>
      </w:r>
      <w:r w:rsidR="00E76BBA">
        <w:rPr>
          <w:rFonts w:ascii="Times New Roman" w:hAnsi="Times New Roman" w:cs="Times New Roman"/>
          <w:sz w:val="24"/>
        </w:rPr>
        <w:t xml:space="preserve">demonstra quais os percentuais deverão ser utilizados no contrato, </w:t>
      </w:r>
      <w:r w:rsidR="00DE093E">
        <w:rPr>
          <w:rFonts w:ascii="Times New Roman" w:hAnsi="Times New Roman" w:cs="Times New Roman"/>
          <w:sz w:val="24"/>
        </w:rPr>
        <w:t xml:space="preserve">para tanto, </w:t>
      </w:r>
      <w:r w:rsidR="00E76BBA">
        <w:rPr>
          <w:rFonts w:ascii="Times New Roman" w:hAnsi="Times New Roman" w:cs="Times New Roman"/>
          <w:sz w:val="24"/>
        </w:rPr>
        <w:t>o usuário</w:t>
      </w:r>
      <w:r w:rsidR="00DE093E">
        <w:rPr>
          <w:rFonts w:ascii="Times New Roman" w:hAnsi="Times New Roman" w:cs="Times New Roman"/>
          <w:sz w:val="24"/>
        </w:rPr>
        <w:t xml:space="preserve"> deve </w:t>
      </w:r>
      <w:r w:rsidR="00E76BBA">
        <w:rPr>
          <w:rFonts w:ascii="Times New Roman" w:hAnsi="Times New Roman" w:cs="Times New Roman"/>
          <w:sz w:val="24"/>
        </w:rPr>
        <w:t xml:space="preserve">informar o percentual do Grau de Risco SAT-GIIL-RAT, e automaticamente a ferramenta calcula os </w:t>
      </w:r>
      <w:r w:rsidR="00084C3D">
        <w:rPr>
          <w:rFonts w:ascii="Times New Roman" w:hAnsi="Times New Roman" w:cs="Times New Roman"/>
          <w:sz w:val="24"/>
        </w:rPr>
        <w:t>p</w:t>
      </w:r>
      <w:r w:rsidR="00E76BBA" w:rsidRPr="00E76BBA">
        <w:rPr>
          <w:rFonts w:ascii="Times New Roman" w:hAnsi="Times New Roman" w:cs="Times New Roman"/>
          <w:sz w:val="24"/>
        </w:rPr>
        <w:t>ercentuais totais máximos incidentes sobre a remu</w:t>
      </w:r>
      <w:r w:rsidR="00E76BBA">
        <w:rPr>
          <w:rFonts w:ascii="Times New Roman" w:hAnsi="Times New Roman" w:cs="Times New Roman"/>
          <w:sz w:val="24"/>
        </w:rPr>
        <w:t>neração a serem contingenciados.</w:t>
      </w:r>
    </w:p>
    <w:p w14:paraId="2E09065A" w14:textId="77777777" w:rsidR="00E76BBA" w:rsidRDefault="00E76BBA" w:rsidP="00E76BBA">
      <w:pPr>
        <w:keepNext/>
        <w:jc w:val="both"/>
      </w:pPr>
      <w:r w:rsidRPr="00E76BBA">
        <w:rPr>
          <w:noProof/>
          <w:lang w:eastAsia="pt-BR"/>
        </w:rPr>
        <w:drawing>
          <wp:inline distT="0" distB="0" distL="0" distR="0" wp14:anchorId="14CEBB32" wp14:editId="51194DDD">
            <wp:extent cx="5760085" cy="613542"/>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613542"/>
                    </a:xfrm>
                    <a:prstGeom prst="rect">
                      <a:avLst/>
                    </a:prstGeom>
                    <a:noFill/>
                    <a:ln>
                      <a:noFill/>
                    </a:ln>
                  </pic:spPr>
                </pic:pic>
              </a:graphicData>
            </a:graphic>
          </wp:inline>
        </w:drawing>
      </w:r>
    </w:p>
    <w:p w14:paraId="15BC8A48" w14:textId="3E2C7602" w:rsidR="00E76BBA" w:rsidRPr="00CD4A89" w:rsidRDefault="00E76BBA" w:rsidP="00E76BBA">
      <w:pPr>
        <w:pStyle w:val="Legenda"/>
        <w:jc w:val="center"/>
        <w:rPr>
          <w:rFonts w:ascii="Times New Roman" w:hAnsi="Times New Roman" w:cs="Times New Roman"/>
          <w:color w:val="auto"/>
          <w:sz w:val="24"/>
        </w:rPr>
      </w:pPr>
      <w:r w:rsidRPr="00CD4A89">
        <w:rPr>
          <w:rFonts w:ascii="Times New Roman" w:hAnsi="Times New Roman" w:cs="Times New Roman"/>
          <w:color w:val="auto"/>
        </w:rPr>
        <w:t xml:space="preserve">Figura </w:t>
      </w:r>
      <w:r w:rsidRPr="00CD4A89">
        <w:rPr>
          <w:rFonts w:ascii="Times New Roman" w:hAnsi="Times New Roman" w:cs="Times New Roman"/>
          <w:color w:val="auto"/>
        </w:rPr>
        <w:fldChar w:fldCharType="begin"/>
      </w:r>
      <w:r w:rsidRPr="00CD4A89">
        <w:rPr>
          <w:rFonts w:ascii="Times New Roman" w:hAnsi="Times New Roman" w:cs="Times New Roman"/>
          <w:color w:val="auto"/>
        </w:rPr>
        <w:instrText xml:space="preserve"> SEQ Figura \* ARABIC </w:instrText>
      </w:r>
      <w:r w:rsidRPr="00CD4A89">
        <w:rPr>
          <w:rFonts w:ascii="Times New Roman" w:hAnsi="Times New Roman" w:cs="Times New Roman"/>
          <w:color w:val="auto"/>
        </w:rPr>
        <w:fldChar w:fldCharType="separate"/>
      </w:r>
      <w:r w:rsidR="004D7A91">
        <w:rPr>
          <w:rFonts w:ascii="Times New Roman" w:hAnsi="Times New Roman" w:cs="Times New Roman"/>
          <w:noProof/>
          <w:color w:val="auto"/>
        </w:rPr>
        <w:t>3</w:t>
      </w:r>
      <w:r w:rsidRPr="00CD4A89">
        <w:rPr>
          <w:rFonts w:ascii="Times New Roman" w:hAnsi="Times New Roman" w:cs="Times New Roman"/>
          <w:color w:val="auto"/>
        </w:rPr>
        <w:fldChar w:fldCharType="end"/>
      </w:r>
      <w:r w:rsidRPr="00CD4A89">
        <w:rPr>
          <w:rFonts w:ascii="Times New Roman" w:hAnsi="Times New Roman" w:cs="Times New Roman"/>
          <w:color w:val="auto"/>
        </w:rPr>
        <w:t xml:space="preserve"> - Percentuais do contrato</w:t>
      </w:r>
    </w:p>
    <w:p w14:paraId="17F3D960" w14:textId="1BB6240F" w:rsidR="00E76BBA" w:rsidRDefault="00E76BBA" w:rsidP="003D252F">
      <w:pPr>
        <w:spacing w:after="0"/>
        <w:jc w:val="both"/>
        <w:rPr>
          <w:rFonts w:ascii="Times New Roman" w:hAnsi="Times New Roman" w:cs="Times New Roman"/>
          <w:sz w:val="24"/>
        </w:rPr>
      </w:pPr>
      <w:r>
        <w:rPr>
          <w:rFonts w:ascii="Times New Roman" w:hAnsi="Times New Roman" w:cs="Times New Roman"/>
          <w:sz w:val="24"/>
        </w:rPr>
        <w:tab/>
      </w:r>
      <w:r w:rsidR="00527BBF" w:rsidRPr="00527BBF">
        <w:rPr>
          <w:rFonts w:ascii="Times New Roman" w:hAnsi="Times New Roman" w:cs="Times New Roman"/>
          <w:sz w:val="24"/>
        </w:rPr>
        <w:t>Observe que o Seguro de Acidente de Trabalho – SAT/GIIL-RAT corresponde aos percentuais 1%, 2%</w:t>
      </w:r>
      <w:r w:rsidR="00527BBF">
        <w:rPr>
          <w:rFonts w:ascii="Times New Roman" w:hAnsi="Times New Roman" w:cs="Times New Roman"/>
          <w:sz w:val="24"/>
        </w:rPr>
        <w:t xml:space="preserve"> </w:t>
      </w:r>
      <w:r w:rsidR="00527BBF" w:rsidRPr="00527BBF">
        <w:rPr>
          <w:rFonts w:ascii="Times New Roman" w:hAnsi="Times New Roman" w:cs="Times New Roman"/>
          <w:sz w:val="24"/>
        </w:rPr>
        <w:t>ou 3% dependendo do grau de risco de acidente do trabalho, prevista no art. 22, inciso II, da Lei nº</w:t>
      </w:r>
      <w:r w:rsidR="00527BBF">
        <w:rPr>
          <w:rFonts w:ascii="Times New Roman" w:hAnsi="Times New Roman" w:cs="Times New Roman"/>
          <w:sz w:val="24"/>
        </w:rPr>
        <w:t xml:space="preserve"> </w:t>
      </w:r>
      <w:r w:rsidR="00527BBF" w:rsidRPr="00527BBF">
        <w:rPr>
          <w:rFonts w:ascii="Times New Roman" w:hAnsi="Times New Roman" w:cs="Times New Roman"/>
          <w:sz w:val="24"/>
        </w:rPr>
        <w:t xml:space="preserve">8.212, de 1991. Estes valores, contudo, podem oscilar entre 0,50% a </w:t>
      </w:r>
      <w:r w:rsidR="00527BBF" w:rsidRPr="00527BBF">
        <w:rPr>
          <w:rFonts w:ascii="Times New Roman" w:hAnsi="Times New Roman" w:cs="Times New Roman"/>
          <w:sz w:val="24"/>
        </w:rPr>
        <w:lastRenderedPageBreak/>
        <w:t>6,00% em função do FAP – Fator</w:t>
      </w:r>
      <w:r w:rsidR="00527BBF">
        <w:rPr>
          <w:rFonts w:ascii="Times New Roman" w:hAnsi="Times New Roman" w:cs="Times New Roman"/>
          <w:sz w:val="24"/>
        </w:rPr>
        <w:t xml:space="preserve"> </w:t>
      </w:r>
      <w:r w:rsidR="00527BBF" w:rsidRPr="00527BBF">
        <w:rPr>
          <w:rFonts w:ascii="Times New Roman" w:hAnsi="Times New Roman" w:cs="Times New Roman"/>
          <w:sz w:val="24"/>
        </w:rPr>
        <w:t>de Acidente Previdenciário. (Decreto nº 6.957, de 2009 e Resolução MPS/CNPS Nº 1.329, de 25 de</w:t>
      </w:r>
      <w:r w:rsidR="00527BBF">
        <w:rPr>
          <w:rFonts w:ascii="Times New Roman" w:hAnsi="Times New Roman" w:cs="Times New Roman"/>
          <w:sz w:val="24"/>
        </w:rPr>
        <w:t xml:space="preserve"> </w:t>
      </w:r>
      <w:r w:rsidR="00527BBF" w:rsidRPr="00527BBF">
        <w:rPr>
          <w:rFonts w:ascii="Times New Roman" w:hAnsi="Times New Roman" w:cs="Times New Roman"/>
          <w:sz w:val="24"/>
        </w:rPr>
        <w:t>abril de 2017).</w:t>
      </w:r>
    </w:p>
    <w:p w14:paraId="40261466" w14:textId="62AEAFC4" w:rsidR="00362FE8" w:rsidRPr="00362FE8" w:rsidRDefault="00362FE8" w:rsidP="003D252F">
      <w:pPr>
        <w:spacing w:after="0"/>
        <w:ind w:firstLine="708"/>
        <w:jc w:val="both"/>
        <w:rPr>
          <w:rFonts w:ascii="Times New Roman" w:hAnsi="Times New Roman" w:cs="Times New Roman"/>
          <w:sz w:val="24"/>
        </w:rPr>
      </w:pPr>
      <w:r w:rsidRPr="00362FE8">
        <w:rPr>
          <w:rFonts w:ascii="Times New Roman" w:hAnsi="Times New Roman" w:cs="Times New Roman"/>
          <w:sz w:val="24"/>
        </w:rPr>
        <w:t>As planilhas de formação de preços das empresas contratadas costumam apresentar percentuais variados de Risco de Acidente de Trabalh</w:t>
      </w:r>
      <w:r w:rsidR="003D252F">
        <w:rPr>
          <w:rFonts w:ascii="Times New Roman" w:hAnsi="Times New Roman" w:cs="Times New Roman"/>
          <w:sz w:val="24"/>
        </w:rPr>
        <w:t>o – RAT. O Ministério do Plane</w:t>
      </w:r>
      <w:r w:rsidRPr="00362FE8">
        <w:rPr>
          <w:rFonts w:ascii="Times New Roman" w:hAnsi="Times New Roman" w:cs="Times New Roman"/>
          <w:sz w:val="24"/>
        </w:rPr>
        <w:t>jamento padronizou os percentuais de retenção desse</w:t>
      </w:r>
      <w:r w:rsidR="003D252F">
        <w:rPr>
          <w:rFonts w:ascii="Times New Roman" w:hAnsi="Times New Roman" w:cs="Times New Roman"/>
          <w:sz w:val="24"/>
        </w:rPr>
        <w:t>s valores na conta vinculada co</w:t>
      </w:r>
      <w:r w:rsidRPr="00362FE8">
        <w:rPr>
          <w:rFonts w:ascii="Times New Roman" w:hAnsi="Times New Roman" w:cs="Times New Roman"/>
          <w:sz w:val="24"/>
        </w:rPr>
        <w:t>mo forma de evitar a realização dos cálculos pelas equipes gestoras da conta.</w:t>
      </w:r>
    </w:p>
    <w:p w14:paraId="359226C5" w14:textId="74E1EDF8" w:rsidR="00362FE8" w:rsidRPr="00E76BBA" w:rsidRDefault="00362FE8" w:rsidP="003D252F">
      <w:pPr>
        <w:ind w:firstLine="708"/>
        <w:jc w:val="both"/>
        <w:rPr>
          <w:rFonts w:ascii="Times New Roman" w:hAnsi="Times New Roman" w:cs="Times New Roman"/>
          <w:sz w:val="24"/>
        </w:rPr>
      </w:pPr>
      <w:r w:rsidRPr="00362FE8">
        <w:rPr>
          <w:rFonts w:ascii="Times New Roman" w:hAnsi="Times New Roman" w:cs="Times New Roman"/>
          <w:sz w:val="24"/>
        </w:rPr>
        <w:t xml:space="preserve">Assim, com base nos percentuais de 1%, 2% e 3% de SAT, foram dedicados os índices de 7,39%, 7,60% e 7,82% para incidência de encargos. Disso resultados os percentuais padronizados de </w:t>
      </w:r>
      <w:r w:rsidR="003D252F">
        <w:rPr>
          <w:rFonts w:ascii="Times New Roman" w:hAnsi="Times New Roman" w:cs="Times New Roman"/>
          <w:sz w:val="24"/>
        </w:rPr>
        <w:t>retenção sobre a remuneração: 31</w:t>
      </w:r>
      <w:r w:rsidRPr="00362FE8">
        <w:rPr>
          <w:rFonts w:ascii="Times New Roman" w:hAnsi="Times New Roman" w:cs="Times New Roman"/>
          <w:sz w:val="24"/>
        </w:rPr>
        <w:t>,82%, 3</w:t>
      </w:r>
      <w:r w:rsidR="003D252F">
        <w:rPr>
          <w:rFonts w:ascii="Times New Roman" w:hAnsi="Times New Roman" w:cs="Times New Roman"/>
          <w:sz w:val="24"/>
        </w:rPr>
        <w:t>2</w:t>
      </w:r>
      <w:r w:rsidRPr="00362FE8">
        <w:rPr>
          <w:rFonts w:ascii="Times New Roman" w:hAnsi="Times New Roman" w:cs="Times New Roman"/>
          <w:sz w:val="24"/>
        </w:rPr>
        <w:t>,03% e 3</w:t>
      </w:r>
      <w:r w:rsidR="003D252F">
        <w:rPr>
          <w:rFonts w:ascii="Times New Roman" w:hAnsi="Times New Roman" w:cs="Times New Roman"/>
          <w:sz w:val="24"/>
        </w:rPr>
        <w:t>2</w:t>
      </w:r>
      <w:r w:rsidRPr="00362FE8">
        <w:rPr>
          <w:rFonts w:ascii="Times New Roman" w:hAnsi="Times New Roman" w:cs="Times New Roman"/>
          <w:sz w:val="24"/>
        </w:rPr>
        <w:t>,25%.</w:t>
      </w:r>
    </w:p>
    <w:p w14:paraId="5FCFCBE6" w14:textId="428AA555" w:rsidR="007E398C" w:rsidRPr="004C4A09" w:rsidRDefault="007E398C" w:rsidP="007E398C">
      <w:pPr>
        <w:pStyle w:val="PargrafodaLista"/>
        <w:numPr>
          <w:ilvl w:val="0"/>
          <w:numId w:val="13"/>
        </w:numPr>
        <w:jc w:val="both"/>
        <w:rPr>
          <w:rFonts w:ascii="Times New Roman" w:hAnsi="Times New Roman" w:cs="Times New Roman"/>
          <w:b/>
          <w:sz w:val="24"/>
        </w:rPr>
      </w:pPr>
      <w:r w:rsidRPr="004C4A09">
        <w:rPr>
          <w:rFonts w:ascii="Times New Roman" w:hAnsi="Times New Roman" w:cs="Times New Roman"/>
          <w:b/>
          <w:sz w:val="24"/>
        </w:rPr>
        <w:t>Planilha PARCELAS:</w:t>
      </w:r>
    </w:p>
    <w:p w14:paraId="5BF57B6E" w14:textId="3E6CEA91" w:rsidR="00527BBF" w:rsidRDefault="008F2355" w:rsidP="00CD4A89">
      <w:pPr>
        <w:spacing w:after="0"/>
        <w:ind w:firstLine="708"/>
        <w:jc w:val="both"/>
        <w:rPr>
          <w:rFonts w:ascii="Times New Roman" w:hAnsi="Times New Roman" w:cs="Times New Roman"/>
          <w:sz w:val="24"/>
        </w:rPr>
      </w:pPr>
      <w:r>
        <w:rPr>
          <w:rFonts w:ascii="Times New Roman" w:hAnsi="Times New Roman" w:cs="Times New Roman"/>
          <w:sz w:val="24"/>
        </w:rPr>
        <w:t xml:space="preserve">Nesta planilha o usuário deve informar a referência anual, mensal, número da nota fiscal correspondente e o número do processo eletrônico de acompanhamento </w:t>
      </w:r>
      <w:r w:rsidR="00CD4A89">
        <w:rPr>
          <w:rFonts w:ascii="Times New Roman" w:hAnsi="Times New Roman" w:cs="Times New Roman"/>
          <w:sz w:val="24"/>
        </w:rPr>
        <w:t xml:space="preserve">da execução </w:t>
      </w:r>
      <w:r>
        <w:rPr>
          <w:rFonts w:ascii="Times New Roman" w:hAnsi="Times New Roman" w:cs="Times New Roman"/>
          <w:sz w:val="24"/>
        </w:rPr>
        <w:t>mensal correspondente ao provisionamento.</w:t>
      </w:r>
    </w:p>
    <w:p w14:paraId="535DEA58" w14:textId="66C9B046" w:rsidR="008F2355" w:rsidRDefault="008F2355" w:rsidP="008F2355">
      <w:pPr>
        <w:ind w:firstLine="708"/>
        <w:jc w:val="both"/>
        <w:rPr>
          <w:rFonts w:ascii="Times New Roman" w:hAnsi="Times New Roman" w:cs="Times New Roman"/>
          <w:sz w:val="24"/>
        </w:rPr>
      </w:pPr>
      <w:r>
        <w:rPr>
          <w:rFonts w:ascii="Times New Roman" w:hAnsi="Times New Roman" w:cs="Times New Roman"/>
          <w:sz w:val="24"/>
        </w:rPr>
        <w:t xml:space="preserve">Na figura 4 é possível observar, que os valores provisionados e o respectivo crédito acumulado são inseridos de forma </w:t>
      </w:r>
      <w:r w:rsidR="00CD4A89">
        <w:rPr>
          <w:rFonts w:ascii="Times New Roman" w:hAnsi="Times New Roman" w:cs="Times New Roman"/>
          <w:sz w:val="24"/>
        </w:rPr>
        <w:t>automática, quando o usuário executa</w:t>
      </w:r>
      <w:r>
        <w:rPr>
          <w:rFonts w:ascii="Times New Roman" w:hAnsi="Times New Roman" w:cs="Times New Roman"/>
          <w:sz w:val="24"/>
        </w:rPr>
        <w:t xml:space="preserve"> o provisionamento mensal na planilha da parcela correspondente.</w:t>
      </w:r>
    </w:p>
    <w:p w14:paraId="5D141D87" w14:textId="77777777" w:rsidR="008F2355" w:rsidRDefault="008F2355" w:rsidP="008F2355">
      <w:pPr>
        <w:keepNext/>
        <w:jc w:val="both"/>
      </w:pPr>
      <w:r w:rsidRPr="008F2355">
        <w:rPr>
          <w:noProof/>
          <w:lang w:eastAsia="pt-BR"/>
        </w:rPr>
        <w:drawing>
          <wp:inline distT="0" distB="0" distL="0" distR="0" wp14:anchorId="0A6D4336" wp14:editId="1E06167F">
            <wp:extent cx="5760085" cy="1337681"/>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1337681"/>
                    </a:xfrm>
                    <a:prstGeom prst="rect">
                      <a:avLst/>
                    </a:prstGeom>
                    <a:noFill/>
                    <a:ln>
                      <a:noFill/>
                    </a:ln>
                  </pic:spPr>
                </pic:pic>
              </a:graphicData>
            </a:graphic>
          </wp:inline>
        </w:drawing>
      </w:r>
    </w:p>
    <w:p w14:paraId="493C16A9" w14:textId="4C65C55D" w:rsidR="008F2355" w:rsidRPr="00CD4A89" w:rsidRDefault="008F2355" w:rsidP="008F2355">
      <w:pPr>
        <w:pStyle w:val="Legenda"/>
        <w:jc w:val="center"/>
        <w:rPr>
          <w:rFonts w:ascii="Times New Roman" w:hAnsi="Times New Roman" w:cs="Times New Roman"/>
          <w:color w:val="auto"/>
          <w:sz w:val="24"/>
        </w:rPr>
      </w:pPr>
      <w:r w:rsidRPr="00CD4A89">
        <w:rPr>
          <w:rFonts w:ascii="Times New Roman" w:hAnsi="Times New Roman" w:cs="Times New Roman"/>
          <w:color w:val="auto"/>
        </w:rPr>
        <w:t xml:space="preserve">Figura </w:t>
      </w:r>
      <w:r w:rsidRPr="00CD4A89">
        <w:rPr>
          <w:rFonts w:ascii="Times New Roman" w:hAnsi="Times New Roman" w:cs="Times New Roman"/>
          <w:color w:val="auto"/>
        </w:rPr>
        <w:fldChar w:fldCharType="begin"/>
      </w:r>
      <w:r w:rsidRPr="00CD4A89">
        <w:rPr>
          <w:rFonts w:ascii="Times New Roman" w:hAnsi="Times New Roman" w:cs="Times New Roman"/>
          <w:color w:val="auto"/>
        </w:rPr>
        <w:instrText xml:space="preserve"> SEQ Figura \* ARABIC </w:instrText>
      </w:r>
      <w:r w:rsidRPr="00CD4A89">
        <w:rPr>
          <w:rFonts w:ascii="Times New Roman" w:hAnsi="Times New Roman" w:cs="Times New Roman"/>
          <w:color w:val="auto"/>
        </w:rPr>
        <w:fldChar w:fldCharType="separate"/>
      </w:r>
      <w:r w:rsidR="004D7A91">
        <w:rPr>
          <w:rFonts w:ascii="Times New Roman" w:hAnsi="Times New Roman" w:cs="Times New Roman"/>
          <w:noProof/>
          <w:color w:val="auto"/>
        </w:rPr>
        <w:t>4</w:t>
      </w:r>
      <w:r w:rsidRPr="00CD4A89">
        <w:rPr>
          <w:rFonts w:ascii="Times New Roman" w:hAnsi="Times New Roman" w:cs="Times New Roman"/>
          <w:color w:val="auto"/>
        </w:rPr>
        <w:fldChar w:fldCharType="end"/>
      </w:r>
      <w:r w:rsidRPr="00CD4A89">
        <w:rPr>
          <w:rFonts w:ascii="Times New Roman" w:hAnsi="Times New Roman" w:cs="Times New Roman"/>
          <w:color w:val="auto"/>
        </w:rPr>
        <w:t xml:space="preserve"> - Planilha "PARCELAS"</w:t>
      </w:r>
    </w:p>
    <w:p w14:paraId="03ED5A3B" w14:textId="13B5D367" w:rsidR="009A5B0E" w:rsidRDefault="008F2355" w:rsidP="00CD4A89">
      <w:pPr>
        <w:spacing w:after="0"/>
        <w:jc w:val="both"/>
        <w:rPr>
          <w:rFonts w:ascii="Times New Roman" w:hAnsi="Times New Roman" w:cs="Times New Roman"/>
          <w:sz w:val="24"/>
        </w:rPr>
      </w:pPr>
      <w:r>
        <w:rPr>
          <w:rFonts w:ascii="Times New Roman" w:hAnsi="Times New Roman" w:cs="Times New Roman"/>
          <w:sz w:val="24"/>
        </w:rPr>
        <w:tab/>
      </w:r>
      <w:r w:rsidR="00733912">
        <w:rPr>
          <w:rFonts w:ascii="Times New Roman" w:hAnsi="Times New Roman" w:cs="Times New Roman"/>
          <w:sz w:val="24"/>
        </w:rPr>
        <w:t>No procedimento adotado</w:t>
      </w:r>
      <w:r w:rsidR="00CD4A89">
        <w:rPr>
          <w:rFonts w:ascii="Times New Roman" w:hAnsi="Times New Roman" w:cs="Times New Roman"/>
          <w:sz w:val="24"/>
        </w:rPr>
        <w:t>/orientado</w:t>
      </w:r>
      <w:r w:rsidR="00733912">
        <w:rPr>
          <w:rFonts w:ascii="Times New Roman" w:hAnsi="Times New Roman" w:cs="Times New Roman"/>
          <w:sz w:val="24"/>
        </w:rPr>
        <w:t xml:space="preserve"> pela IF-COGES, o fiscal administrativo, no momento do cálculo do provisionamento, ainda não tem conhecimento do número da nota fiscal, porém ficará registrado o número do processo eletrônico, o que possibilita a consulta posterior, que pode ser feita em seu próximo provisionamento no mês subsequente.</w:t>
      </w:r>
    </w:p>
    <w:p w14:paraId="2A88DEA2" w14:textId="3018378A" w:rsidR="008F2355" w:rsidRPr="008F2355" w:rsidRDefault="00CD4A89" w:rsidP="00C47D8E">
      <w:pPr>
        <w:jc w:val="both"/>
        <w:rPr>
          <w:rFonts w:ascii="Times New Roman" w:hAnsi="Times New Roman" w:cs="Times New Roman"/>
          <w:sz w:val="24"/>
        </w:rPr>
      </w:pPr>
      <w:r>
        <w:rPr>
          <w:rFonts w:ascii="Times New Roman" w:hAnsi="Times New Roman" w:cs="Times New Roman"/>
          <w:sz w:val="24"/>
        </w:rPr>
        <w:tab/>
        <w:t>O usuário, ao clicar</w:t>
      </w:r>
      <w:r w:rsidR="009A5B0E">
        <w:rPr>
          <w:rFonts w:ascii="Times New Roman" w:hAnsi="Times New Roman" w:cs="Times New Roman"/>
          <w:sz w:val="24"/>
        </w:rPr>
        <w:t xml:space="preserve"> sobre o número da parcela é direcionado para a planilha da parcela correspondente, facilitando assim</w:t>
      </w:r>
      <w:r>
        <w:rPr>
          <w:rFonts w:ascii="Times New Roman" w:hAnsi="Times New Roman" w:cs="Times New Roman"/>
          <w:sz w:val="24"/>
        </w:rPr>
        <w:t xml:space="preserve"> sua navegação pela ferramenta.</w:t>
      </w:r>
    </w:p>
    <w:p w14:paraId="46AC697C" w14:textId="74F76257" w:rsidR="007E398C" w:rsidRPr="004C4A09" w:rsidRDefault="007E398C" w:rsidP="007E398C">
      <w:pPr>
        <w:pStyle w:val="PargrafodaLista"/>
        <w:numPr>
          <w:ilvl w:val="0"/>
          <w:numId w:val="13"/>
        </w:numPr>
        <w:jc w:val="both"/>
        <w:rPr>
          <w:rFonts w:ascii="Times New Roman" w:hAnsi="Times New Roman" w:cs="Times New Roman"/>
          <w:b/>
          <w:sz w:val="24"/>
        </w:rPr>
      </w:pPr>
      <w:r w:rsidRPr="004C4A09">
        <w:rPr>
          <w:rFonts w:ascii="Times New Roman" w:hAnsi="Times New Roman" w:cs="Times New Roman"/>
          <w:b/>
          <w:sz w:val="24"/>
        </w:rPr>
        <w:t>Planilha FÉRIAS:</w:t>
      </w:r>
    </w:p>
    <w:p w14:paraId="42ECE959" w14:textId="0345CD1A" w:rsidR="006A589D" w:rsidRDefault="006A589D" w:rsidP="00CD4A89">
      <w:pPr>
        <w:spacing w:after="0"/>
        <w:ind w:firstLine="708"/>
        <w:jc w:val="both"/>
        <w:rPr>
          <w:rFonts w:ascii="Times New Roman" w:hAnsi="Times New Roman" w:cs="Times New Roman"/>
          <w:sz w:val="24"/>
        </w:rPr>
      </w:pPr>
      <w:r>
        <w:rPr>
          <w:rFonts w:ascii="Times New Roman" w:hAnsi="Times New Roman" w:cs="Times New Roman"/>
          <w:sz w:val="24"/>
        </w:rPr>
        <w:t xml:space="preserve">A planilha tem </w:t>
      </w:r>
      <w:r w:rsidR="00CD4A89">
        <w:rPr>
          <w:rFonts w:ascii="Times New Roman" w:hAnsi="Times New Roman" w:cs="Times New Roman"/>
          <w:sz w:val="24"/>
        </w:rPr>
        <w:t>como objetivo</w:t>
      </w:r>
      <w:r>
        <w:rPr>
          <w:rFonts w:ascii="Times New Roman" w:hAnsi="Times New Roman" w:cs="Times New Roman"/>
          <w:sz w:val="24"/>
        </w:rPr>
        <w:t xml:space="preserve"> calcular os valores a serem </w:t>
      </w:r>
      <w:r w:rsidR="00CD4A89">
        <w:rPr>
          <w:rFonts w:ascii="Times New Roman" w:hAnsi="Times New Roman" w:cs="Times New Roman"/>
          <w:sz w:val="24"/>
        </w:rPr>
        <w:t>liberados relativos ao montante provisionado</w:t>
      </w:r>
      <w:r>
        <w:rPr>
          <w:rFonts w:ascii="Times New Roman" w:hAnsi="Times New Roman" w:cs="Times New Roman"/>
          <w:sz w:val="24"/>
        </w:rPr>
        <w:t xml:space="preserve"> de férias e terço constitucional de férias.</w:t>
      </w:r>
    </w:p>
    <w:p w14:paraId="66A2E1BC" w14:textId="06D42387" w:rsidR="006A589D" w:rsidRDefault="006A589D" w:rsidP="006A589D">
      <w:pPr>
        <w:ind w:firstLine="708"/>
        <w:jc w:val="both"/>
        <w:rPr>
          <w:rFonts w:ascii="Times New Roman" w:hAnsi="Times New Roman" w:cs="Times New Roman"/>
          <w:sz w:val="24"/>
        </w:rPr>
      </w:pPr>
      <w:r>
        <w:rPr>
          <w:rFonts w:ascii="Times New Roman" w:hAnsi="Times New Roman" w:cs="Times New Roman"/>
          <w:sz w:val="24"/>
        </w:rPr>
        <w:t xml:space="preserve">O usuário deve inserir os dados, referente ao número da liberação, nome do funcionário, disponibilização para o órgão, período aquisitivo, fruição, dias de férias, avôs devidos e a remuneração. </w:t>
      </w:r>
    </w:p>
    <w:p w14:paraId="2F1726B8" w14:textId="77777777" w:rsidR="0086218E" w:rsidRDefault="0086218E" w:rsidP="0086218E">
      <w:pPr>
        <w:keepNext/>
        <w:jc w:val="both"/>
      </w:pPr>
      <w:r w:rsidRPr="0086218E">
        <w:rPr>
          <w:noProof/>
          <w:lang w:eastAsia="pt-BR"/>
        </w:rPr>
        <w:lastRenderedPageBreak/>
        <w:drawing>
          <wp:inline distT="0" distB="0" distL="0" distR="0" wp14:anchorId="54CDA2E0" wp14:editId="6F437DC0">
            <wp:extent cx="5760085" cy="860237"/>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860237"/>
                    </a:xfrm>
                    <a:prstGeom prst="rect">
                      <a:avLst/>
                    </a:prstGeom>
                    <a:noFill/>
                    <a:ln>
                      <a:noFill/>
                    </a:ln>
                  </pic:spPr>
                </pic:pic>
              </a:graphicData>
            </a:graphic>
          </wp:inline>
        </w:drawing>
      </w:r>
    </w:p>
    <w:p w14:paraId="13639F3A" w14:textId="716C4917" w:rsidR="0086218E" w:rsidRPr="00CD4A89" w:rsidRDefault="0086218E" w:rsidP="0086218E">
      <w:pPr>
        <w:pStyle w:val="Legenda"/>
        <w:jc w:val="center"/>
        <w:rPr>
          <w:rFonts w:ascii="Times New Roman" w:hAnsi="Times New Roman" w:cs="Times New Roman"/>
          <w:color w:val="auto"/>
          <w:sz w:val="24"/>
        </w:rPr>
      </w:pPr>
      <w:r w:rsidRPr="00CD4A89">
        <w:rPr>
          <w:rFonts w:ascii="Times New Roman" w:hAnsi="Times New Roman" w:cs="Times New Roman"/>
          <w:color w:val="auto"/>
        </w:rPr>
        <w:t xml:space="preserve">Figura </w:t>
      </w:r>
      <w:r w:rsidRPr="00CD4A89">
        <w:rPr>
          <w:rFonts w:ascii="Times New Roman" w:hAnsi="Times New Roman" w:cs="Times New Roman"/>
          <w:color w:val="auto"/>
        </w:rPr>
        <w:fldChar w:fldCharType="begin"/>
      </w:r>
      <w:r w:rsidRPr="00CD4A89">
        <w:rPr>
          <w:rFonts w:ascii="Times New Roman" w:hAnsi="Times New Roman" w:cs="Times New Roman"/>
          <w:color w:val="auto"/>
        </w:rPr>
        <w:instrText xml:space="preserve"> SEQ Figura \* ARABIC </w:instrText>
      </w:r>
      <w:r w:rsidRPr="00CD4A89">
        <w:rPr>
          <w:rFonts w:ascii="Times New Roman" w:hAnsi="Times New Roman" w:cs="Times New Roman"/>
          <w:color w:val="auto"/>
        </w:rPr>
        <w:fldChar w:fldCharType="separate"/>
      </w:r>
      <w:r w:rsidR="004D7A91">
        <w:rPr>
          <w:rFonts w:ascii="Times New Roman" w:hAnsi="Times New Roman" w:cs="Times New Roman"/>
          <w:noProof/>
          <w:color w:val="auto"/>
        </w:rPr>
        <w:t>5</w:t>
      </w:r>
      <w:r w:rsidRPr="00CD4A89">
        <w:rPr>
          <w:rFonts w:ascii="Times New Roman" w:hAnsi="Times New Roman" w:cs="Times New Roman"/>
          <w:color w:val="auto"/>
        </w:rPr>
        <w:fldChar w:fldCharType="end"/>
      </w:r>
      <w:r w:rsidRPr="00CD4A89">
        <w:rPr>
          <w:rFonts w:ascii="Times New Roman" w:hAnsi="Times New Roman" w:cs="Times New Roman"/>
          <w:color w:val="auto"/>
        </w:rPr>
        <w:t xml:space="preserve"> - Planilha Férias (preenchimento)</w:t>
      </w:r>
    </w:p>
    <w:p w14:paraId="1A646446" w14:textId="4B1AACBD" w:rsidR="0086218E" w:rsidRDefault="006A589D" w:rsidP="00CD4A89">
      <w:pPr>
        <w:spacing w:after="0"/>
        <w:ind w:firstLine="708"/>
        <w:jc w:val="both"/>
        <w:rPr>
          <w:rFonts w:ascii="Times New Roman" w:hAnsi="Times New Roman" w:cs="Times New Roman"/>
          <w:sz w:val="24"/>
        </w:rPr>
      </w:pPr>
      <w:r>
        <w:rPr>
          <w:rFonts w:ascii="Times New Roman" w:hAnsi="Times New Roman" w:cs="Times New Roman"/>
          <w:sz w:val="24"/>
        </w:rPr>
        <w:t>Após o preenchimento dos dados supracitados a ferramenta efetua o cálculo baseado nas informações, inclusive com o percentual de encargos previdenciários e FGTS sobre férias e 1/3 de férias</w:t>
      </w:r>
      <w:r w:rsidR="0086218E">
        <w:rPr>
          <w:rFonts w:ascii="Times New Roman" w:hAnsi="Times New Roman" w:cs="Times New Roman"/>
          <w:sz w:val="24"/>
        </w:rPr>
        <w:t>, cujo valor é extraído</w:t>
      </w:r>
      <w:r w:rsidR="00CD4A89">
        <w:rPr>
          <w:rFonts w:ascii="Times New Roman" w:hAnsi="Times New Roman" w:cs="Times New Roman"/>
          <w:sz w:val="24"/>
        </w:rPr>
        <w:t xml:space="preserve"> automaticamente da </w:t>
      </w:r>
      <w:r w:rsidR="0086218E">
        <w:rPr>
          <w:rFonts w:ascii="Times New Roman" w:hAnsi="Times New Roman" w:cs="Times New Roman"/>
          <w:sz w:val="24"/>
        </w:rPr>
        <w:t>Planilha “DADOS”, gerando o valor total a ser liberado de férias, adicional de férias e respectivos encargos sociais</w:t>
      </w:r>
      <w:r w:rsidR="00CD4A89">
        <w:rPr>
          <w:rFonts w:ascii="Times New Roman" w:hAnsi="Times New Roman" w:cs="Times New Roman"/>
          <w:sz w:val="24"/>
        </w:rPr>
        <w:t xml:space="preserve"> para cada colaborador</w:t>
      </w:r>
      <w:r w:rsidR="0086218E">
        <w:rPr>
          <w:rFonts w:ascii="Times New Roman" w:hAnsi="Times New Roman" w:cs="Times New Roman"/>
          <w:sz w:val="24"/>
        </w:rPr>
        <w:t>.</w:t>
      </w:r>
    </w:p>
    <w:p w14:paraId="7FA313BB" w14:textId="703F934D" w:rsidR="0086218E" w:rsidRDefault="00CD4A89" w:rsidP="006A589D">
      <w:pPr>
        <w:ind w:firstLine="708"/>
        <w:jc w:val="both"/>
        <w:rPr>
          <w:rFonts w:ascii="Times New Roman" w:hAnsi="Times New Roman" w:cs="Times New Roman"/>
          <w:sz w:val="24"/>
        </w:rPr>
      </w:pPr>
      <w:r>
        <w:rPr>
          <w:rFonts w:ascii="Times New Roman" w:hAnsi="Times New Roman" w:cs="Times New Roman"/>
          <w:sz w:val="24"/>
        </w:rPr>
        <w:t xml:space="preserve">Efetuado </w:t>
      </w:r>
      <w:r w:rsidR="00E224A5">
        <w:rPr>
          <w:rFonts w:ascii="Times New Roman" w:hAnsi="Times New Roman" w:cs="Times New Roman"/>
          <w:sz w:val="24"/>
        </w:rPr>
        <w:t>o cálculo d</w:t>
      </w:r>
      <w:r w:rsidR="0086218E">
        <w:rPr>
          <w:rFonts w:ascii="Times New Roman" w:hAnsi="Times New Roman" w:cs="Times New Roman"/>
          <w:sz w:val="24"/>
        </w:rPr>
        <w:t>a liberação, faz-se necessário inserir o valor total liberado por funcionário na Planilha “PARCELA X”, corresp</w:t>
      </w:r>
      <w:r w:rsidR="00E224A5">
        <w:rPr>
          <w:rFonts w:ascii="Times New Roman" w:hAnsi="Times New Roman" w:cs="Times New Roman"/>
          <w:sz w:val="24"/>
        </w:rPr>
        <w:t>ondente, conforme figura 6.</w:t>
      </w:r>
    </w:p>
    <w:p w14:paraId="67C89B13" w14:textId="77777777" w:rsidR="00E224A5" w:rsidRDefault="0086218E" w:rsidP="00E224A5">
      <w:pPr>
        <w:keepNext/>
        <w:jc w:val="both"/>
      </w:pPr>
      <w:r w:rsidRPr="0086218E">
        <w:rPr>
          <w:noProof/>
          <w:lang w:eastAsia="pt-BR"/>
        </w:rPr>
        <w:drawing>
          <wp:inline distT="0" distB="0" distL="0" distR="0" wp14:anchorId="5EFC93C6" wp14:editId="1F3D1ED2">
            <wp:extent cx="5760085" cy="698822"/>
            <wp:effectExtent l="0" t="0" r="0" b="635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698822"/>
                    </a:xfrm>
                    <a:prstGeom prst="rect">
                      <a:avLst/>
                    </a:prstGeom>
                    <a:noFill/>
                    <a:ln>
                      <a:noFill/>
                    </a:ln>
                  </pic:spPr>
                </pic:pic>
              </a:graphicData>
            </a:graphic>
          </wp:inline>
        </w:drawing>
      </w:r>
    </w:p>
    <w:p w14:paraId="250D6030" w14:textId="0BFCAB2D" w:rsidR="0086218E" w:rsidRPr="00CD4A89" w:rsidRDefault="00E224A5" w:rsidP="00E224A5">
      <w:pPr>
        <w:pStyle w:val="Legenda"/>
        <w:jc w:val="center"/>
        <w:rPr>
          <w:rFonts w:ascii="Times New Roman" w:hAnsi="Times New Roman" w:cs="Times New Roman"/>
          <w:color w:val="auto"/>
          <w:sz w:val="24"/>
        </w:rPr>
      </w:pPr>
      <w:r w:rsidRPr="00CD4A89">
        <w:rPr>
          <w:rFonts w:ascii="Times New Roman" w:hAnsi="Times New Roman" w:cs="Times New Roman"/>
          <w:color w:val="auto"/>
        </w:rPr>
        <w:t xml:space="preserve">Figura </w:t>
      </w:r>
      <w:r w:rsidRPr="00CD4A89">
        <w:rPr>
          <w:rFonts w:ascii="Times New Roman" w:hAnsi="Times New Roman" w:cs="Times New Roman"/>
          <w:color w:val="auto"/>
        </w:rPr>
        <w:fldChar w:fldCharType="begin"/>
      </w:r>
      <w:r w:rsidRPr="00CD4A89">
        <w:rPr>
          <w:rFonts w:ascii="Times New Roman" w:hAnsi="Times New Roman" w:cs="Times New Roman"/>
          <w:color w:val="auto"/>
        </w:rPr>
        <w:instrText xml:space="preserve"> SEQ Figura \* ARABIC </w:instrText>
      </w:r>
      <w:r w:rsidRPr="00CD4A89">
        <w:rPr>
          <w:rFonts w:ascii="Times New Roman" w:hAnsi="Times New Roman" w:cs="Times New Roman"/>
          <w:color w:val="auto"/>
        </w:rPr>
        <w:fldChar w:fldCharType="separate"/>
      </w:r>
      <w:r w:rsidR="004D7A91">
        <w:rPr>
          <w:rFonts w:ascii="Times New Roman" w:hAnsi="Times New Roman" w:cs="Times New Roman"/>
          <w:noProof/>
          <w:color w:val="auto"/>
        </w:rPr>
        <w:t>6</w:t>
      </w:r>
      <w:r w:rsidRPr="00CD4A89">
        <w:rPr>
          <w:rFonts w:ascii="Times New Roman" w:hAnsi="Times New Roman" w:cs="Times New Roman"/>
          <w:color w:val="auto"/>
        </w:rPr>
        <w:fldChar w:fldCharType="end"/>
      </w:r>
      <w:r w:rsidRPr="00CD4A89">
        <w:rPr>
          <w:rFonts w:ascii="Times New Roman" w:hAnsi="Times New Roman" w:cs="Times New Roman"/>
          <w:color w:val="auto"/>
        </w:rPr>
        <w:t xml:space="preserve"> - Total Acumulado - Total liberado por funcionário</w:t>
      </w:r>
    </w:p>
    <w:p w14:paraId="5184A96D" w14:textId="252E9F2D" w:rsidR="009A5B0E" w:rsidRDefault="0086218E" w:rsidP="006A589D">
      <w:pPr>
        <w:ind w:firstLine="708"/>
        <w:jc w:val="both"/>
        <w:rPr>
          <w:rFonts w:ascii="Times New Roman" w:hAnsi="Times New Roman" w:cs="Times New Roman"/>
          <w:sz w:val="24"/>
        </w:rPr>
      </w:pPr>
      <w:r>
        <w:rPr>
          <w:rFonts w:ascii="Times New Roman" w:hAnsi="Times New Roman" w:cs="Times New Roman"/>
          <w:sz w:val="24"/>
        </w:rPr>
        <w:t>Para exemplificar: Caso uma liberação de férias</w:t>
      </w:r>
      <w:r w:rsidR="00E224A5">
        <w:rPr>
          <w:rFonts w:ascii="Times New Roman" w:hAnsi="Times New Roman" w:cs="Times New Roman"/>
          <w:sz w:val="24"/>
        </w:rPr>
        <w:t xml:space="preserve">, para um determinado </w:t>
      </w:r>
      <w:r w:rsidR="00CD4A89">
        <w:rPr>
          <w:rFonts w:ascii="Times New Roman" w:hAnsi="Times New Roman" w:cs="Times New Roman"/>
          <w:sz w:val="24"/>
        </w:rPr>
        <w:t>colaborador</w:t>
      </w:r>
      <w:r w:rsidR="00E224A5">
        <w:rPr>
          <w:rFonts w:ascii="Times New Roman" w:hAnsi="Times New Roman" w:cs="Times New Roman"/>
          <w:sz w:val="24"/>
        </w:rPr>
        <w:t>,</w:t>
      </w:r>
      <w:r>
        <w:rPr>
          <w:rFonts w:ascii="Times New Roman" w:hAnsi="Times New Roman" w:cs="Times New Roman"/>
          <w:sz w:val="24"/>
        </w:rPr>
        <w:t xml:space="preserve"> ocorra no mês de </w:t>
      </w:r>
      <w:r w:rsidR="00CD4A89">
        <w:rPr>
          <w:rFonts w:ascii="Times New Roman" w:hAnsi="Times New Roman" w:cs="Times New Roman"/>
          <w:sz w:val="24"/>
        </w:rPr>
        <w:t>novembro</w:t>
      </w:r>
      <w:r>
        <w:rPr>
          <w:rFonts w:ascii="Times New Roman" w:hAnsi="Times New Roman" w:cs="Times New Roman"/>
          <w:sz w:val="24"/>
        </w:rPr>
        <w:t xml:space="preserve"> de 2020, cuja parcela correspondente seja a de número </w:t>
      </w:r>
      <w:r w:rsidR="00E224A5">
        <w:rPr>
          <w:rFonts w:ascii="Times New Roman" w:hAnsi="Times New Roman" w:cs="Times New Roman"/>
          <w:sz w:val="24"/>
        </w:rPr>
        <w:t>15, então o usuário deve inserir na tabela “TOTAL ACUMULADO”, na coluna “Total liberado por funcionário”, na linha c</w:t>
      </w:r>
      <w:r w:rsidR="00CD4A89">
        <w:rPr>
          <w:rFonts w:ascii="Times New Roman" w:hAnsi="Times New Roman" w:cs="Times New Roman"/>
          <w:sz w:val="24"/>
        </w:rPr>
        <w:t>orrespondente ao colaborador, na</w:t>
      </w:r>
      <w:r w:rsidR="00E224A5">
        <w:rPr>
          <w:rFonts w:ascii="Times New Roman" w:hAnsi="Times New Roman" w:cs="Times New Roman"/>
          <w:sz w:val="24"/>
        </w:rPr>
        <w:t xml:space="preserve"> Planilha da “PARCELA 15”, o total do valor liberado para aquele </w:t>
      </w:r>
      <w:r w:rsidR="00CD4A89">
        <w:rPr>
          <w:rFonts w:ascii="Times New Roman" w:hAnsi="Times New Roman" w:cs="Times New Roman"/>
          <w:sz w:val="24"/>
        </w:rPr>
        <w:t>colaborador</w:t>
      </w:r>
      <w:r w:rsidR="00E224A5">
        <w:rPr>
          <w:rFonts w:ascii="Times New Roman" w:hAnsi="Times New Roman" w:cs="Times New Roman"/>
          <w:sz w:val="24"/>
        </w:rPr>
        <w:t>.</w:t>
      </w:r>
    </w:p>
    <w:p w14:paraId="3F64C6E4" w14:textId="2C6D1590" w:rsidR="007E398C" w:rsidRPr="004C4A09" w:rsidRDefault="005D7E18" w:rsidP="007E398C">
      <w:pPr>
        <w:pStyle w:val="PargrafodaLista"/>
        <w:numPr>
          <w:ilvl w:val="0"/>
          <w:numId w:val="13"/>
        </w:numPr>
        <w:jc w:val="both"/>
        <w:rPr>
          <w:rFonts w:ascii="Times New Roman" w:hAnsi="Times New Roman" w:cs="Times New Roman"/>
          <w:b/>
          <w:sz w:val="24"/>
        </w:rPr>
      </w:pPr>
      <w:r w:rsidRPr="004C4A09">
        <w:rPr>
          <w:rFonts w:ascii="Times New Roman" w:hAnsi="Times New Roman" w:cs="Times New Roman"/>
          <w:b/>
          <w:sz w:val="24"/>
        </w:rPr>
        <w:t>Planilha 13º:</w:t>
      </w:r>
    </w:p>
    <w:p w14:paraId="5E9353C7" w14:textId="2DF73383" w:rsidR="005D7E18" w:rsidRDefault="005D7E18" w:rsidP="00E755AA">
      <w:pPr>
        <w:ind w:firstLine="708"/>
        <w:jc w:val="both"/>
        <w:rPr>
          <w:rFonts w:ascii="Times New Roman" w:hAnsi="Times New Roman" w:cs="Times New Roman"/>
          <w:sz w:val="24"/>
        </w:rPr>
      </w:pPr>
      <w:r>
        <w:rPr>
          <w:rFonts w:ascii="Times New Roman" w:hAnsi="Times New Roman" w:cs="Times New Roman"/>
          <w:sz w:val="24"/>
        </w:rPr>
        <w:t xml:space="preserve">A Planilha de cálculo dos valores a serem liberados referente ao décimo terceiro salário dos </w:t>
      </w:r>
      <w:r w:rsidR="00C10DF5">
        <w:rPr>
          <w:rFonts w:ascii="Times New Roman" w:hAnsi="Times New Roman" w:cs="Times New Roman"/>
          <w:sz w:val="24"/>
        </w:rPr>
        <w:t>colaboradores</w:t>
      </w:r>
      <w:r>
        <w:rPr>
          <w:rFonts w:ascii="Times New Roman" w:hAnsi="Times New Roman" w:cs="Times New Roman"/>
          <w:sz w:val="24"/>
        </w:rPr>
        <w:t xml:space="preserve">, tem objetivo de </w:t>
      </w:r>
      <w:r w:rsidR="00C10DF5">
        <w:rPr>
          <w:rFonts w:ascii="Times New Roman" w:hAnsi="Times New Roman" w:cs="Times New Roman"/>
          <w:sz w:val="24"/>
        </w:rPr>
        <w:t>efetuar os cálculos</w:t>
      </w:r>
      <w:r>
        <w:rPr>
          <w:rFonts w:ascii="Times New Roman" w:hAnsi="Times New Roman" w:cs="Times New Roman"/>
          <w:sz w:val="24"/>
        </w:rPr>
        <w:t xml:space="preserve"> de forma individual, por funcionário, para isso o usuário deve inserir os dados referente ao número da liberação, nome do funcionário, admissão, disponibilização para o órgão, avos devidos e a remuneração, ficando a ferramenta encarregada de efetuar o cálculo do valor acrescido do percentual de encargos previdenciários e FGTS para o valor de 13º salário a ser liberado, conforme demonstrado na figura 7.</w:t>
      </w:r>
    </w:p>
    <w:p w14:paraId="56FE8EAA" w14:textId="77777777" w:rsidR="005D7E18" w:rsidRDefault="005D7E18" w:rsidP="005D7E18">
      <w:pPr>
        <w:keepNext/>
        <w:jc w:val="both"/>
      </w:pPr>
      <w:r w:rsidRPr="005D7E18">
        <w:rPr>
          <w:noProof/>
          <w:lang w:eastAsia="pt-BR"/>
        </w:rPr>
        <w:drawing>
          <wp:inline distT="0" distB="0" distL="0" distR="0" wp14:anchorId="34F3A20D" wp14:editId="44091B67">
            <wp:extent cx="5760085" cy="1133868"/>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1133868"/>
                    </a:xfrm>
                    <a:prstGeom prst="rect">
                      <a:avLst/>
                    </a:prstGeom>
                    <a:noFill/>
                    <a:ln>
                      <a:noFill/>
                    </a:ln>
                  </pic:spPr>
                </pic:pic>
              </a:graphicData>
            </a:graphic>
          </wp:inline>
        </w:drawing>
      </w:r>
    </w:p>
    <w:p w14:paraId="02B683F7" w14:textId="287A383D" w:rsidR="005D7E18" w:rsidRPr="00C10DF5" w:rsidRDefault="005D7E18" w:rsidP="005D7E18">
      <w:pPr>
        <w:pStyle w:val="Legenda"/>
        <w:jc w:val="center"/>
        <w:rPr>
          <w:rFonts w:ascii="Times New Roman" w:hAnsi="Times New Roman" w:cs="Times New Roman"/>
          <w:color w:val="auto"/>
          <w:sz w:val="24"/>
        </w:rPr>
      </w:pPr>
      <w:r w:rsidRPr="00C10DF5">
        <w:rPr>
          <w:rFonts w:ascii="Times New Roman" w:hAnsi="Times New Roman" w:cs="Times New Roman"/>
          <w:color w:val="auto"/>
        </w:rPr>
        <w:t xml:space="preserve">Figura </w:t>
      </w:r>
      <w:r w:rsidRPr="00C10DF5">
        <w:rPr>
          <w:rFonts w:ascii="Times New Roman" w:hAnsi="Times New Roman" w:cs="Times New Roman"/>
          <w:color w:val="auto"/>
        </w:rPr>
        <w:fldChar w:fldCharType="begin"/>
      </w:r>
      <w:r w:rsidRPr="00C10DF5">
        <w:rPr>
          <w:rFonts w:ascii="Times New Roman" w:hAnsi="Times New Roman" w:cs="Times New Roman"/>
          <w:color w:val="auto"/>
        </w:rPr>
        <w:instrText xml:space="preserve"> SEQ Figura \* ARABIC </w:instrText>
      </w:r>
      <w:r w:rsidRPr="00C10DF5">
        <w:rPr>
          <w:rFonts w:ascii="Times New Roman" w:hAnsi="Times New Roman" w:cs="Times New Roman"/>
          <w:color w:val="auto"/>
        </w:rPr>
        <w:fldChar w:fldCharType="separate"/>
      </w:r>
      <w:r w:rsidR="004D7A91">
        <w:rPr>
          <w:rFonts w:ascii="Times New Roman" w:hAnsi="Times New Roman" w:cs="Times New Roman"/>
          <w:noProof/>
          <w:color w:val="auto"/>
        </w:rPr>
        <w:t>7</w:t>
      </w:r>
      <w:r w:rsidRPr="00C10DF5">
        <w:rPr>
          <w:rFonts w:ascii="Times New Roman" w:hAnsi="Times New Roman" w:cs="Times New Roman"/>
          <w:color w:val="auto"/>
        </w:rPr>
        <w:fldChar w:fldCharType="end"/>
      </w:r>
      <w:r w:rsidRPr="00C10DF5">
        <w:rPr>
          <w:rFonts w:ascii="Times New Roman" w:hAnsi="Times New Roman" w:cs="Times New Roman"/>
          <w:color w:val="auto"/>
        </w:rPr>
        <w:t xml:space="preserve"> - Planilha 13º (preenchimento)</w:t>
      </w:r>
    </w:p>
    <w:p w14:paraId="5E622212" w14:textId="72D97372" w:rsidR="004E2B87" w:rsidRDefault="004E2B87" w:rsidP="004E2B87">
      <w:pPr>
        <w:ind w:firstLine="708"/>
        <w:jc w:val="both"/>
        <w:rPr>
          <w:rFonts w:ascii="Times New Roman" w:hAnsi="Times New Roman" w:cs="Times New Roman"/>
          <w:sz w:val="24"/>
        </w:rPr>
      </w:pPr>
      <w:r>
        <w:rPr>
          <w:rFonts w:ascii="Times New Roman" w:hAnsi="Times New Roman" w:cs="Times New Roman"/>
          <w:sz w:val="24"/>
        </w:rPr>
        <w:lastRenderedPageBreak/>
        <w:t>Efetuad</w:t>
      </w:r>
      <w:r w:rsidR="00C10DF5">
        <w:rPr>
          <w:rFonts w:ascii="Times New Roman" w:hAnsi="Times New Roman" w:cs="Times New Roman"/>
          <w:sz w:val="24"/>
        </w:rPr>
        <w:t>o</w:t>
      </w:r>
      <w:r>
        <w:rPr>
          <w:rFonts w:ascii="Times New Roman" w:hAnsi="Times New Roman" w:cs="Times New Roman"/>
          <w:sz w:val="24"/>
        </w:rPr>
        <w:t xml:space="preserve"> o cálculo da liberação, faz-se necessário inserir o valor total liberado por funcionário na Planilha “PARCELA X”, correspondente.</w:t>
      </w:r>
      <w:r w:rsidRPr="004E2B87">
        <w:rPr>
          <w:rFonts w:ascii="Times New Roman" w:hAnsi="Times New Roman" w:cs="Times New Roman"/>
          <w:sz w:val="24"/>
        </w:rPr>
        <w:t xml:space="preserve"> </w:t>
      </w:r>
      <w:r>
        <w:rPr>
          <w:rFonts w:ascii="Times New Roman" w:hAnsi="Times New Roman" w:cs="Times New Roman"/>
          <w:sz w:val="24"/>
        </w:rPr>
        <w:t xml:space="preserve">Para exemplificar: Caso uma liberação de 13º, para um determinado </w:t>
      </w:r>
      <w:r w:rsidR="00C10DF5">
        <w:rPr>
          <w:rFonts w:ascii="Times New Roman" w:hAnsi="Times New Roman" w:cs="Times New Roman"/>
          <w:sz w:val="24"/>
        </w:rPr>
        <w:t>colaborador</w:t>
      </w:r>
      <w:r>
        <w:rPr>
          <w:rFonts w:ascii="Times New Roman" w:hAnsi="Times New Roman" w:cs="Times New Roman"/>
          <w:sz w:val="24"/>
        </w:rPr>
        <w:t>, ocorra no mês de dezembro de 2020, cuja parcela correspondente seja a de número 15, então o usuário deve inserir na tabela “TOTAL ACUMULADO”, na coluna “Total liberado por funcionário”, na linha correspondente ao funcionário, na Planilha da “PARCELA 15”, o total do valor liberado para aquele funcionário conforme demonstrado na figura 8.</w:t>
      </w:r>
    </w:p>
    <w:p w14:paraId="49612FB4" w14:textId="77777777" w:rsidR="004E2B87" w:rsidRDefault="004E2B87" w:rsidP="004E2B87">
      <w:pPr>
        <w:keepNext/>
        <w:jc w:val="both"/>
      </w:pPr>
      <w:r w:rsidRPr="0086218E">
        <w:rPr>
          <w:noProof/>
          <w:lang w:eastAsia="pt-BR"/>
        </w:rPr>
        <w:drawing>
          <wp:inline distT="0" distB="0" distL="0" distR="0" wp14:anchorId="32AC11A9" wp14:editId="42A87BDC">
            <wp:extent cx="5760085" cy="698500"/>
            <wp:effectExtent l="0" t="0" r="0" b="635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698500"/>
                    </a:xfrm>
                    <a:prstGeom prst="rect">
                      <a:avLst/>
                    </a:prstGeom>
                    <a:noFill/>
                    <a:ln>
                      <a:noFill/>
                    </a:ln>
                  </pic:spPr>
                </pic:pic>
              </a:graphicData>
            </a:graphic>
          </wp:inline>
        </w:drawing>
      </w:r>
    </w:p>
    <w:p w14:paraId="1FA35B2E" w14:textId="78388F76" w:rsidR="004E2B87" w:rsidRPr="00C10DF5" w:rsidRDefault="004E2B87" w:rsidP="004E2B87">
      <w:pPr>
        <w:pStyle w:val="Legenda"/>
        <w:jc w:val="center"/>
        <w:rPr>
          <w:rFonts w:ascii="Times New Roman" w:hAnsi="Times New Roman" w:cs="Times New Roman"/>
          <w:color w:val="auto"/>
          <w:sz w:val="24"/>
        </w:rPr>
      </w:pPr>
      <w:r w:rsidRPr="00C10DF5">
        <w:rPr>
          <w:rFonts w:ascii="Times New Roman" w:hAnsi="Times New Roman" w:cs="Times New Roman"/>
          <w:color w:val="auto"/>
        </w:rPr>
        <w:t xml:space="preserve">Figura </w:t>
      </w:r>
      <w:r w:rsidRPr="00C10DF5">
        <w:rPr>
          <w:rFonts w:ascii="Times New Roman" w:hAnsi="Times New Roman" w:cs="Times New Roman"/>
          <w:color w:val="auto"/>
        </w:rPr>
        <w:fldChar w:fldCharType="begin"/>
      </w:r>
      <w:r w:rsidRPr="00C10DF5">
        <w:rPr>
          <w:rFonts w:ascii="Times New Roman" w:hAnsi="Times New Roman" w:cs="Times New Roman"/>
          <w:color w:val="auto"/>
        </w:rPr>
        <w:instrText xml:space="preserve"> SEQ Figura \* ARABIC </w:instrText>
      </w:r>
      <w:r w:rsidRPr="00C10DF5">
        <w:rPr>
          <w:rFonts w:ascii="Times New Roman" w:hAnsi="Times New Roman" w:cs="Times New Roman"/>
          <w:color w:val="auto"/>
        </w:rPr>
        <w:fldChar w:fldCharType="separate"/>
      </w:r>
      <w:r w:rsidR="004D7A91">
        <w:rPr>
          <w:rFonts w:ascii="Times New Roman" w:hAnsi="Times New Roman" w:cs="Times New Roman"/>
          <w:noProof/>
          <w:color w:val="auto"/>
        </w:rPr>
        <w:t>8</w:t>
      </w:r>
      <w:r w:rsidRPr="00C10DF5">
        <w:rPr>
          <w:rFonts w:ascii="Times New Roman" w:hAnsi="Times New Roman" w:cs="Times New Roman"/>
          <w:color w:val="auto"/>
        </w:rPr>
        <w:fldChar w:fldCharType="end"/>
      </w:r>
      <w:r w:rsidRPr="00C10DF5">
        <w:rPr>
          <w:rFonts w:ascii="Times New Roman" w:hAnsi="Times New Roman" w:cs="Times New Roman"/>
          <w:color w:val="auto"/>
        </w:rPr>
        <w:t xml:space="preserve"> - TOTAL ACUMULADO (Total liberado por funcionário)</w:t>
      </w:r>
    </w:p>
    <w:p w14:paraId="6469FC2D" w14:textId="5D9D83BB" w:rsidR="007E398C" w:rsidRPr="004C4A09" w:rsidRDefault="007E398C" w:rsidP="007E398C">
      <w:pPr>
        <w:pStyle w:val="PargrafodaLista"/>
        <w:numPr>
          <w:ilvl w:val="0"/>
          <w:numId w:val="13"/>
        </w:numPr>
        <w:jc w:val="both"/>
        <w:rPr>
          <w:rFonts w:ascii="Times New Roman" w:hAnsi="Times New Roman" w:cs="Times New Roman"/>
          <w:b/>
          <w:sz w:val="24"/>
        </w:rPr>
      </w:pPr>
      <w:r w:rsidRPr="004C4A09">
        <w:rPr>
          <w:rFonts w:ascii="Times New Roman" w:hAnsi="Times New Roman" w:cs="Times New Roman"/>
          <w:b/>
          <w:sz w:val="24"/>
        </w:rPr>
        <w:t>Planilha RESCISÕES:</w:t>
      </w:r>
    </w:p>
    <w:p w14:paraId="7ED39531" w14:textId="616216EC" w:rsidR="00F511DF" w:rsidRDefault="00E755AA" w:rsidP="00E755AA">
      <w:pPr>
        <w:ind w:firstLine="708"/>
        <w:jc w:val="both"/>
        <w:rPr>
          <w:rFonts w:ascii="Times New Roman" w:hAnsi="Times New Roman" w:cs="Times New Roman"/>
          <w:sz w:val="24"/>
        </w:rPr>
      </w:pPr>
      <w:r>
        <w:rPr>
          <w:rFonts w:ascii="Times New Roman" w:hAnsi="Times New Roman" w:cs="Times New Roman"/>
          <w:sz w:val="24"/>
        </w:rPr>
        <w:t>Para as liberações de rescisões o usuário deve utilizar a planilha inserindo os dados do número da liberação, nome do empregado, datas de admissão, disponibilização para o órgão e desligamento, e por fim o usuário deve informar o valor da remuneração para o período, e os avos devidos relativos a décimo terceiro salário, férias e férias proporcionais, conforme demonstrado na figura 9.</w:t>
      </w:r>
    </w:p>
    <w:p w14:paraId="53E4716A" w14:textId="77777777" w:rsidR="00537084" w:rsidRDefault="00E755AA" w:rsidP="00537084">
      <w:pPr>
        <w:keepNext/>
        <w:jc w:val="both"/>
      </w:pPr>
      <w:r w:rsidRPr="00E755AA">
        <w:rPr>
          <w:noProof/>
          <w:lang w:eastAsia="pt-BR"/>
        </w:rPr>
        <w:drawing>
          <wp:inline distT="0" distB="0" distL="0" distR="0" wp14:anchorId="3454A233" wp14:editId="5AA2C942">
            <wp:extent cx="5760085" cy="99999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999998"/>
                    </a:xfrm>
                    <a:prstGeom prst="rect">
                      <a:avLst/>
                    </a:prstGeom>
                    <a:noFill/>
                    <a:ln>
                      <a:noFill/>
                    </a:ln>
                  </pic:spPr>
                </pic:pic>
              </a:graphicData>
            </a:graphic>
          </wp:inline>
        </w:drawing>
      </w:r>
    </w:p>
    <w:p w14:paraId="6F9A4934" w14:textId="5460F636" w:rsidR="00E755AA" w:rsidRPr="00C10DF5" w:rsidRDefault="00537084" w:rsidP="00537084">
      <w:pPr>
        <w:pStyle w:val="Legenda"/>
        <w:jc w:val="center"/>
        <w:rPr>
          <w:rFonts w:ascii="Times New Roman" w:hAnsi="Times New Roman" w:cs="Times New Roman"/>
          <w:color w:val="auto"/>
          <w:sz w:val="24"/>
        </w:rPr>
      </w:pPr>
      <w:r w:rsidRPr="00C10DF5">
        <w:rPr>
          <w:rFonts w:ascii="Times New Roman" w:hAnsi="Times New Roman" w:cs="Times New Roman"/>
          <w:color w:val="auto"/>
        </w:rPr>
        <w:t xml:space="preserve">Figura </w:t>
      </w:r>
      <w:r w:rsidRPr="00C10DF5">
        <w:rPr>
          <w:rFonts w:ascii="Times New Roman" w:hAnsi="Times New Roman" w:cs="Times New Roman"/>
          <w:color w:val="auto"/>
        </w:rPr>
        <w:fldChar w:fldCharType="begin"/>
      </w:r>
      <w:r w:rsidRPr="00C10DF5">
        <w:rPr>
          <w:rFonts w:ascii="Times New Roman" w:hAnsi="Times New Roman" w:cs="Times New Roman"/>
          <w:color w:val="auto"/>
        </w:rPr>
        <w:instrText xml:space="preserve"> SEQ Figura \* ARABIC </w:instrText>
      </w:r>
      <w:r w:rsidRPr="00C10DF5">
        <w:rPr>
          <w:rFonts w:ascii="Times New Roman" w:hAnsi="Times New Roman" w:cs="Times New Roman"/>
          <w:color w:val="auto"/>
        </w:rPr>
        <w:fldChar w:fldCharType="separate"/>
      </w:r>
      <w:r w:rsidR="004D7A91">
        <w:rPr>
          <w:rFonts w:ascii="Times New Roman" w:hAnsi="Times New Roman" w:cs="Times New Roman"/>
          <w:noProof/>
          <w:color w:val="auto"/>
        </w:rPr>
        <w:t>9</w:t>
      </w:r>
      <w:r w:rsidRPr="00C10DF5">
        <w:rPr>
          <w:rFonts w:ascii="Times New Roman" w:hAnsi="Times New Roman" w:cs="Times New Roman"/>
          <w:color w:val="auto"/>
        </w:rPr>
        <w:fldChar w:fldCharType="end"/>
      </w:r>
      <w:r w:rsidRPr="00C10DF5">
        <w:rPr>
          <w:rFonts w:ascii="Times New Roman" w:hAnsi="Times New Roman" w:cs="Times New Roman"/>
          <w:color w:val="auto"/>
        </w:rPr>
        <w:t xml:space="preserve"> - Preenchimento de dados para liberação de rescisão</w:t>
      </w:r>
    </w:p>
    <w:p w14:paraId="6DB8FE15" w14:textId="0B389174" w:rsidR="00E755AA" w:rsidRDefault="00E755AA" w:rsidP="00E755AA">
      <w:pPr>
        <w:jc w:val="both"/>
        <w:rPr>
          <w:rFonts w:ascii="Times New Roman" w:hAnsi="Times New Roman" w:cs="Times New Roman"/>
          <w:sz w:val="24"/>
        </w:rPr>
      </w:pPr>
      <w:r>
        <w:rPr>
          <w:rFonts w:ascii="Times New Roman" w:hAnsi="Times New Roman" w:cs="Times New Roman"/>
          <w:sz w:val="24"/>
        </w:rPr>
        <w:tab/>
      </w:r>
      <w:r w:rsidR="00537084">
        <w:rPr>
          <w:rFonts w:ascii="Times New Roman" w:hAnsi="Times New Roman" w:cs="Times New Roman"/>
          <w:sz w:val="24"/>
        </w:rPr>
        <w:t>A ferramenta automaticamente irá calcular o valor total da rescisão a ser liberada em função das informações fornecidas pelo usuário, calculando respectivamente o valor proporcional ao décimo terceiro salário, férias, 1/3 constitucional de férias e incidindo sobre o total desses valores o percentual de encargos previdenciários e de FGTS, conforme figura 10.</w:t>
      </w:r>
    </w:p>
    <w:p w14:paraId="748B2A27" w14:textId="77777777" w:rsidR="00537084" w:rsidRDefault="00537084" w:rsidP="00537084">
      <w:pPr>
        <w:keepNext/>
        <w:jc w:val="both"/>
      </w:pPr>
      <w:r w:rsidRPr="00537084">
        <w:rPr>
          <w:noProof/>
          <w:lang w:eastAsia="pt-BR"/>
        </w:rPr>
        <w:drawing>
          <wp:inline distT="0" distB="0" distL="0" distR="0" wp14:anchorId="756B15FB" wp14:editId="7D1262E9">
            <wp:extent cx="5760085" cy="1114920"/>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1114920"/>
                    </a:xfrm>
                    <a:prstGeom prst="rect">
                      <a:avLst/>
                    </a:prstGeom>
                    <a:noFill/>
                    <a:ln>
                      <a:noFill/>
                    </a:ln>
                  </pic:spPr>
                </pic:pic>
              </a:graphicData>
            </a:graphic>
          </wp:inline>
        </w:drawing>
      </w:r>
    </w:p>
    <w:p w14:paraId="4B778F2C" w14:textId="547A97F2" w:rsidR="00537084" w:rsidRPr="00FD2F19" w:rsidRDefault="00537084" w:rsidP="00537084">
      <w:pPr>
        <w:pStyle w:val="Legenda"/>
        <w:jc w:val="center"/>
        <w:rPr>
          <w:rFonts w:ascii="Times New Roman" w:hAnsi="Times New Roman" w:cs="Times New Roman"/>
          <w:color w:val="auto"/>
          <w:sz w:val="24"/>
        </w:rPr>
      </w:pPr>
      <w:r w:rsidRPr="00FD2F19">
        <w:rPr>
          <w:rFonts w:ascii="Times New Roman" w:hAnsi="Times New Roman" w:cs="Times New Roman"/>
          <w:color w:val="auto"/>
        </w:rPr>
        <w:t xml:space="preserve">Figura </w:t>
      </w:r>
      <w:r w:rsidRPr="00FD2F19">
        <w:rPr>
          <w:rFonts w:ascii="Times New Roman" w:hAnsi="Times New Roman" w:cs="Times New Roman"/>
          <w:color w:val="auto"/>
        </w:rPr>
        <w:fldChar w:fldCharType="begin"/>
      </w:r>
      <w:r w:rsidRPr="00FD2F19">
        <w:rPr>
          <w:rFonts w:ascii="Times New Roman" w:hAnsi="Times New Roman" w:cs="Times New Roman"/>
          <w:color w:val="auto"/>
        </w:rPr>
        <w:instrText xml:space="preserve"> SEQ Figura \* ARABIC </w:instrText>
      </w:r>
      <w:r w:rsidRPr="00FD2F19">
        <w:rPr>
          <w:rFonts w:ascii="Times New Roman" w:hAnsi="Times New Roman" w:cs="Times New Roman"/>
          <w:color w:val="auto"/>
        </w:rPr>
        <w:fldChar w:fldCharType="separate"/>
      </w:r>
      <w:r w:rsidR="004D7A91">
        <w:rPr>
          <w:rFonts w:ascii="Times New Roman" w:hAnsi="Times New Roman" w:cs="Times New Roman"/>
          <w:noProof/>
          <w:color w:val="auto"/>
        </w:rPr>
        <w:t>10</w:t>
      </w:r>
      <w:r w:rsidRPr="00FD2F19">
        <w:rPr>
          <w:rFonts w:ascii="Times New Roman" w:hAnsi="Times New Roman" w:cs="Times New Roman"/>
          <w:color w:val="auto"/>
        </w:rPr>
        <w:fldChar w:fldCharType="end"/>
      </w:r>
      <w:r w:rsidRPr="00FD2F19">
        <w:rPr>
          <w:rFonts w:ascii="Times New Roman" w:hAnsi="Times New Roman" w:cs="Times New Roman"/>
          <w:color w:val="auto"/>
        </w:rPr>
        <w:t xml:space="preserve"> - Cálculo dos valores de rescisão</w:t>
      </w:r>
    </w:p>
    <w:p w14:paraId="7B5A6C5F" w14:textId="45468AC0" w:rsidR="007A703A" w:rsidRPr="00537084" w:rsidRDefault="00537084" w:rsidP="00537084">
      <w:pPr>
        <w:jc w:val="both"/>
        <w:rPr>
          <w:rFonts w:ascii="Times New Roman" w:hAnsi="Times New Roman" w:cs="Times New Roman"/>
          <w:sz w:val="24"/>
        </w:rPr>
      </w:pPr>
      <w:r>
        <w:rPr>
          <w:rFonts w:ascii="Times New Roman" w:hAnsi="Times New Roman" w:cs="Times New Roman"/>
          <w:sz w:val="24"/>
        </w:rPr>
        <w:tab/>
      </w:r>
      <w:r w:rsidR="007A703A">
        <w:rPr>
          <w:rFonts w:ascii="Times New Roman" w:hAnsi="Times New Roman" w:cs="Times New Roman"/>
          <w:sz w:val="24"/>
        </w:rPr>
        <w:t>Também na figura 10, observamos que a</w:t>
      </w:r>
      <w:r>
        <w:rPr>
          <w:rFonts w:ascii="Times New Roman" w:hAnsi="Times New Roman" w:cs="Times New Roman"/>
          <w:sz w:val="24"/>
        </w:rPr>
        <w:t xml:space="preserve"> ferramenta efetua o cálculo da multa de FGTS, em função dos dias trabalhados e da remuneração do</w:t>
      </w:r>
      <w:r w:rsidR="007A703A">
        <w:rPr>
          <w:rFonts w:ascii="Times New Roman" w:hAnsi="Times New Roman" w:cs="Times New Roman"/>
          <w:sz w:val="24"/>
        </w:rPr>
        <w:t>s</w:t>
      </w:r>
      <w:r>
        <w:rPr>
          <w:rFonts w:ascii="Times New Roman" w:hAnsi="Times New Roman" w:cs="Times New Roman"/>
          <w:sz w:val="24"/>
        </w:rPr>
        <w:t xml:space="preserve"> funcionário</w:t>
      </w:r>
      <w:r w:rsidR="007A703A">
        <w:rPr>
          <w:rFonts w:ascii="Times New Roman" w:hAnsi="Times New Roman" w:cs="Times New Roman"/>
          <w:sz w:val="24"/>
        </w:rPr>
        <w:t>s com base nas</w:t>
      </w:r>
      <w:r>
        <w:rPr>
          <w:rFonts w:ascii="Times New Roman" w:hAnsi="Times New Roman" w:cs="Times New Roman"/>
          <w:sz w:val="24"/>
        </w:rPr>
        <w:t xml:space="preserve"> informações</w:t>
      </w:r>
      <w:r w:rsidR="007A703A">
        <w:rPr>
          <w:rFonts w:ascii="Times New Roman" w:hAnsi="Times New Roman" w:cs="Times New Roman"/>
          <w:sz w:val="24"/>
        </w:rPr>
        <w:t xml:space="preserve"> preenchidas pelo usuário, chega</w:t>
      </w:r>
      <w:r w:rsidR="00FD2F19">
        <w:rPr>
          <w:rFonts w:ascii="Times New Roman" w:hAnsi="Times New Roman" w:cs="Times New Roman"/>
          <w:sz w:val="24"/>
        </w:rPr>
        <w:t>ndo desse modo ao valor total da</w:t>
      </w:r>
      <w:r w:rsidR="007A703A">
        <w:rPr>
          <w:rFonts w:ascii="Times New Roman" w:hAnsi="Times New Roman" w:cs="Times New Roman"/>
          <w:sz w:val="24"/>
        </w:rPr>
        <w:t xml:space="preserve"> rescisão a </w:t>
      </w:r>
      <w:r w:rsidR="00FD2F19">
        <w:rPr>
          <w:rFonts w:ascii="Times New Roman" w:hAnsi="Times New Roman" w:cs="Times New Roman"/>
          <w:sz w:val="24"/>
        </w:rPr>
        <w:t>ser liberada</w:t>
      </w:r>
      <w:r w:rsidR="007A703A">
        <w:rPr>
          <w:rFonts w:ascii="Times New Roman" w:hAnsi="Times New Roman" w:cs="Times New Roman"/>
          <w:sz w:val="24"/>
        </w:rPr>
        <w:t>.</w:t>
      </w:r>
    </w:p>
    <w:p w14:paraId="6E374203" w14:textId="3CF31B5E" w:rsidR="007E398C" w:rsidRPr="004C4A09" w:rsidRDefault="007E398C" w:rsidP="007E398C">
      <w:pPr>
        <w:pStyle w:val="PargrafodaLista"/>
        <w:numPr>
          <w:ilvl w:val="0"/>
          <w:numId w:val="13"/>
        </w:numPr>
        <w:jc w:val="both"/>
        <w:rPr>
          <w:rFonts w:ascii="Times New Roman" w:hAnsi="Times New Roman" w:cs="Times New Roman"/>
          <w:b/>
          <w:sz w:val="24"/>
        </w:rPr>
      </w:pPr>
      <w:r w:rsidRPr="004C4A09">
        <w:rPr>
          <w:rFonts w:ascii="Times New Roman" w:hAnsi="Times New Roman" w:cs="Times New Roman"/>
          <w:b/>
          <w:sz w:val="24"/>
        </w:rPr>
        <w:lastRenderedPageBreak/>
        <w:t>Planilha CHECKLIST:</w:t>
      </w:r>
    </w:p>
    <w:p w14:paraId="556DB94B" w14:textId="10D1534A" w:rsidR="007A703A" w:rsidRDefault="00C44096" w:rsidP="00C44096">
      <w:pPr>
        <w:ind w:firstLine="708"/>
        <w:jc w:val="both"/>
        <w:rPr>
          <w:rFonts w:ascii="Times New Roman" w:hAnsi="Times New Roman" w:cs="Times New Roman"/>
          <w:sz w:val="24"/>
        </w:rPr>
      </w:pPr>
      <w:r>
        <w:rPr>
          <w:rFonts w:ascii="Times New Roman" w:hAnsi="Times New Roman" w:cs="Times New Roman"/>
          <w:sz w:val="24"/>
        </w:rPr>
        <w:t>A planilha “</w:t>
      </w:r>
      <w:proofErr w:type="spellStart"/>
      <w:r>
        <w:rPr>
          <w:rFonts w:ascii="Times New Roman" w:hAnsi="Times New Roman" w:cs="Times New Roman"/>
          <w:sz w:val="24"/>
        </w:rPr>
        <w:t>cheklist</w:t>
      </w:r>
      <w:proofErr w:type="spellEnd"/>
      <w:r>
        <w:rPr>
          <w:rFonts w:ascii="Times New Roman" w:hAnsi="Times New Roman" w:cs="Times New Roman"/>
          <w:sz w:val="24"/>
        </w:rPr>
        <w:t xml:space="preserve">” foi desenvolvida para auxiliar o usuário durante os procedimentos de liberação </w:t>
      </w:r>
      <w:r w:rsidR="00FD2F19">
        <w:rPr>
          <w:rFonts w:ascii="Times New Roman" w:hAnsi="Times New Roman" w:cs="Times New Roman"/>
          <w:sz w:val="24"/>
        </w:rPr>
        <w:t>de valores provisionados, conforme ilustra a figura 11.</w:t>
      </w:r>
    </w:p>
    <w:p w14:paraId="4CFA4089" w14:textId="77777777" w:rsidR="00FD2F19" w:rsidRDefault="00C44096" w:rsidP="00FD2F19">
      <w:pPr>
        <w:keepNext/>
        <w:jc w:val="both"/>
      </w:pPr>
      <w:r w:rsidRPr="00C44096">
        <w:rPr>
          <w:noProof/>
          <w:lang w:eastAsia="pt-BR"/>
        </w:rPr>
        <w:drawing>
          <wp:inline distT="0" distB="0" distL="0" distR="0" wp14:anchorId="70871806" wp14:editId="0EE3925A">
            <wp:extent cx="5760085" cy="950857"/>
            <wp:effectExtent l="0" t="0" r="0"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85" cy="950857"/>
                    </a:xfrm>
                    <a:prstGeom prst="rect">
                      <a:avLst/>
                    </a:prstGeom>
                    <a:noFill/>
                    <a:ln>
                      <a:noFill/>
                    </a:ln>
                  </pic:spPr>
                </pic:pic>
              </a:graphicData>
            </a:graphic>
          </wp:inline>
        </w:drawing>
      </w:r>
    </w:p>
    <w:p w14:paraId="12536335" w14:textId="1665AFED" w:rsidR="00C44096" w:rsidRDefault="00FD2F19" w:rsidP="00FD2F19">
      <w:pPr>
        <w:pStyle w:val="Legenda"/>
        <w:jc w:val="center"/>
        <w:rPr>
          <w:rFonts w:ascii="Times New Roman" w:hAnsi="Times New Roman" w:cs="Times New Roman"/>
          <w:color w:val="auto"/>
        </w:rPr>
      </w:pPr>
      <w:r w:rsidRPr="00FD2F19">
        <w:rPr>
          <w:rFonts w:ascii="Times New Roman" w:hAnsi="Times New Roman" w:cs="Times New Roman"/>
          <w:color w:val="auto"/>
        </w:rPr>
        <w:t xml:space="preserve">Figura </w:t>
      </w:r>
      <w:r w:rsidRPr="00FD2F19">
        <w:rPr>
          <w:rFonts w:ascii="Times New Roman" w:hAnsi="Times New Roman" w:cs="Times New Roman"/>
          <w:color w:val="auto"/>
        </w:rPr>
        <w:fldChar w:fldCharType="begin"/>
      </w:r>
      <w:r w:rsidRPr="00FD2F19">
        <w:rPr>
          <w:rFonts w:ascii="Times New Roman" w:hAnsi="Times New Roman" w:cs="Times New Roman"/>
          <w:color w:val="auto"/>
        </w:rPr>
        <w:instrText xml:space="preserve"> SEQ Figura \* ARABIC </w:instrText>
      </w:r>
      <w:r w:rsidRPr="00FD2F19">
        <w:rPr>
          <w:rFonts w:ascii="Times New Roman" w:hAnsi="Times New Roman" w:cs="Times New Roman"/>
          <w:color w:val="auto"/>
        </w:rPr>
        <w:fldChar w:fldCharType="separate"/>
      </w:r>
      <w:r w:rsidR="004D7A91">
        <w:rPr>
          <w:rFonts w:ascii="Times New Roman" w:hAnsi="Times New Roman" w:cs="Times New Roman"/>
          <w:noProof/>
          <w:color w:val="auto"/>
        </w:rPr>
        <w:t>11</w:t>
      </w:r>
      <w:r w:rsidRPr="00FD2F19">
        <w:rPr>
          <w:rFonts w:ascii="Times New Roman" w:hAnsi="Times New Roman" w:cs="Times New Roman"/>
          <w:color w:val="auto"/>
        </w:rPr>
        <w:fldChar w:fldCharType="end"/>
      </w:r>
      <w:r>
        <w:rPr>
          <w:rFonts w:ascii="Times New Roman" w:hAnsi="Times New Roman" w:cs="Times New Roman"/>
          <w:color w:val="auto"/>
        </w:rPr>
        <w:t xml:space="preserve"> - </w:t>
      </w:r>
      <w:proofErr w:type="spellStart"/>
      <w:r>
        <w:rPr>
          <w:rFonts w:ascii="Times New Roman" w:hAnsi="Times New Roman" w:cs="Times New Roman"/>
          <w:color w:val="auto"/>
        </w:rPr>
        <w:t>Check</w:t>
      </w:r>
      <w:r w:rsidRPr="00FD2F19">
        <w:rPr>
          <w:rFonts w:ascii="Times New Roman" w:hAnsi="Times New Roman" w:cs="Times New Roman"/>
          <w:color w:val="auto"/>
        </w:rPr>
        <w:t>list</w:t>
      </w:r>
      <w:proofErr w:type="spellEnd"/>
      <w:r w:rsidRPr="00FD2F19">
        <w:rPr>
          <w:rFonts w:ascii="Times New Roman" w:hAnsi="Times New Roman" w:cs="Times New Roman"/>
          <w:color w:val="auto"/>
        </w:rPr>
        <w:t xml:space="preserve"> para liberação dos valores provisionados</w:t>
      </w:r>
    </w:p>
    <w:p w14:paraId="3EF3E62F" w14:textId="1306B141" w:rsidR="00372E7C" w:rsidRDefault="00FD2F19" w:rsidP="00C51E45">
      <w:pPr>
        <w:jc w:val="both"/>
        <w:rPr>
          <w:rFonts w:ascii="Times New Roman" w:hAnsi="Times New Roman" w:cs="Times New Roman"/>
          <w:sz w:val="24"/>
        </w:rPr>
      </w:pPr>
      <w:r>
        <w:tab/>
      </w:r>
      <w:r w:rsidRPr="00372E7C">
        <w:rPr>
          <w:rFonts w:ascii="Times New Roman" w:hAnsi="Times New Roman" w:cs="Times New Roman"/>
          <w:sz w:val="24"/>
        </w:rPr>
        <w:t xml:space="preserve">As verificações </w:t>
      </w:r>
      <w:r w:rsidR="00372E7C" w:rsidRPr="00372E7C">
        <w:rPr>
          <w:rFonts w:ascii="Times New Roman" w:hAnsi="Times New Roman" w:cs="Times New Roman"/>
          <w:sz w:val="24"/>
        </w:rPr>
        <w:t>principais inseridas na ferramenta são as seguintes:</w:t>
      </w:r>
    </w:p>
    <w:p w14:paraId="25FE54C7" w14:textId="286CDBF1" w:rsidR="00372E7C" w:rsidRPr="00372E7C" w:rsidRDefault="00372E7C" w:rsidP="00C51E45">
      <w:pPr>
        <w:pStyle w:val="PargrafodaLista"/>
        <w:numPr>
          <w:ilvl w:val="0"/>
          <w:numId w:val="17"/>
        </w:numPr>
        <w:jc w:val="both"/>
        <w:rPr>
          <w:rFonts w:ascii="Times New Roman" w:hAnsi="Times New Roman" w:cs="Times New Roman"/>
          <w:sz w:val="24"/>
        </w:rPr>
      </w:pPr>
      <w:r w:rsidRPr="00372E7C">
        <w:rPr>
          <w:rFonts w:ascii="Times New Roman" w:hAnsi="Times New Roman" w:cs="Times New Roman"/>
          <w:sz w:val="24"/>
        </w:rPr>
        <w:t>Confirmação da ocorrência</w:t>
      </w:r>
      <w:r>
        <w:rPr>
          <w:rFonts w:ascii="Times New Roman" w:hAnsi="Times New Roman" w:cs="Times New Roman"/>
          <w:sz w:val="24"/>
        </w:rPr>
        <w:t>;</w:t>
      </w:r>
    </w:p>
    <w:p w14:paraId="2907220C" w14:textId="733E7C46" w:rsidR="00372E7C" w:rsidRPr="00084C3D" w:rsidRDefault="00372E7C" w:rsidP="00C51E45">
      <w:pPr>
        <w:pStyle w:val="PargrafodaLista"/>
        <w:numPr>
          <w:ilvl w:val="0"/>
          <w:numId w:val="17"/>
        </w:numPr>
        <w:jc w:val="both"/>
        <w:rPr>
          <w:rFonts w:ascii="Times New Roman" w:hAnsi="Times New Roman" w:cs="Times New Roman"/>
          <w:sz w:val="24"/>
        </w:rPr>
      </w:pPr>
      <w:r w:rsidRPr="00372E7C">
        <w:rPr>
          <w:rFonts w:ascii="Times New Roman" w:hAnsi="Times New Roman" w:cs="Times New Roman"/>
          <w:sz w:val="24"/>
        </w:rPr>
        <w:t xml:space="preserve">Conferência dos </w:t>
      </w:r>
      <w:r w:rsidRPr="00084C3D">
        <w:rPr>
          <w:rFonts w:ascii="Times New Roman" w:hAnsi="Times New Roman" w:cs="Times New Roman"/>
          <w:sz w:val="24"/>
        </w:rPr>
        <w:t>cálculos apresentados;</w:t>
      </w:r>
    </w:p>
    <w:p w14:paraId="11B1F257" w14:textId="3F326D76" w:rsidR="00372E7C" w:rsidRPr="00084C3D" w:rsidRDefault="00372E7C" w:rsidP="00C51E45">
      <w:pPr>
        <w:pStyle w:val="PargrafodaLista"/>
        <w:numPr>
          <w:ilvl w:val="0"/>
          <w:numId w:val="17"/>
        </w:numPr>
        <w:jc w:val="both"/>
        <w:rPr>
          <w:rFonts w:ascii="Times New Roman" w:hAnsi="Times New Roman" w:cs="Times New Roman"/>
          <w:sz w:val="24"/>
        </w:rPr>
      </w:pPr>
      <w:r w:rsidRPr="00084C3D">
        <w:rPr>
          <w:rFonts w:ascii="Times New Roman" w:hAnsi="Times New Roman" w:cs="Times New Roman"/>
          <w:sz w:val="24"/>
        </w:rPr>
        <w:t xml:space="preserve">Preenchimento da </w:t>
      </w:r>
      <w:r w:rsidRPr="00084C3D">
        <w:rPr>
          <w:rFonts w:ascii="Times New Roman" w:hAnsi="Times New Roman" w:cs="Times New Roman"/>
          <w:sz w:val="24"/>
          <w:szCs w:val="24"/>
        </w:rPr>
        <w:t xml:space="preserve">Ferramenta de Gestão C-DV </w:t>
      </w:r>
      <w:proofErr w:type="spellStart"/>
      <w:r w:rsidRPr="00084C3D">
        <w:rPr>
          <w:rFonts w:ascii="Times New Roman" w:hAnsi="Times New Roman" w:cs="Times New Roman"/>
          <w:sz w:val="24"/>
          <w:szCs w:val="24"/>
        </w:rPr>
        <w:t>IFSul</w:t>
      </w:r>
      <w:proofErr w:type="spellEnd"/>
      <w:r w:rsidRPr="00084C3D">
        <w:rPr>
          <w:rFonts w:ascii="Times New Roman" w:hAnsi="Times New Roman" w:cs="Times New Roman"/>
          <w:sz w:val="24"/>
          <w:szCs w:val="24"/>
        </w:rPr>
        <w:t>;</w:t>
      </w:r>
    </w:p>
    <w:p w14:paraId="72AAAE1F" w14:textId="1C854AC2" w:rsidR="00372E7C" w:rsidRPr="00084C3D" w:rsidRDefault="00372E7C" w:rsidP="00C51E45">
      <w:pPr>
        <w:pStyle w:val="PargrafodaLista"/>
        <w:numPr>
          <w:ilvl w:val="0"/>
          <w:numId w:val="17"/>
        </w:numPr>
        <w:jc w:val="both"/>
        <w:rPr>
          <w:rFonts w:ascii="Times New Roman" w:hAnsi="Times New Roman" w:cs="Times New Roman"/>
          <w:sz w:val="24"/>
        </w:rPr>
      </w:pPr>
      <w:r w:rsidRPr="00084C3D">
        <w:rPr>
          <w:rFonts w:ascii="Times New Roman" w:hAnsi="Times New Roman" w:cs="Times New Roman"/>
          <w:sz w:val="24"/>
        </w:rPr>
        <w:t xml:space="preserve">Expedição de </w:t>
      </w:r>
      <w:r w:rsidRPr="00084C3D">
        <w:rPr>
          <w:rFonts w:ascii="Times New Roman" w:hAnsi="Times New Roman" w:cs="Times New Roman"/>
          <w:noProof/>
          <w:sz w:val="24"/>
          <w:szCs w:val="24"/>
          <w:lang w:eastAsia="pt-BR"/>
        </w:rPr>
        <w:t>Ofício de Liberação de Valores da Conta Vinculada (Apêndice LV);</w:t>
      </w:r>
    </w:p>
    <w:p w14:paraId="18E6D626" w14:textId="22EEEE5E" w:rsidR="00372E7C" w:rsidRPr="00084C3D" w:rsidRDefault="00372E7C" w:rsidP="00C51E45">
      <w:pPr>
        <w:pStyle w:val="PargrafodaLista"/>
        <w:numPr>
          <w:ilvl w:val="0"/>
          <w:numId w:val="17"/>
        </w:numPr>
        <w:jc w:val="both"/>
        <w:rPr>
          <w:rFonts w:ascii="Times New Roman" w:hAnsi="Times New Roman" w:cs="Times New Roman"/>
          <w:sz w:val="24"/>
        </w:rPr>
      </w:pPr>
      <w:r w:rsidRPr="00084C3D">
        <w:rPr>
          <w:rFonts w:ascii="Times New Roman" w:hAnsi="Times New Roman" w:cs="Times New Roman"/>
          <w:sz w:val="24"/>
        </w:rPr>
        <w:t>Solicitação de assinatura do Ofício ao Gestor do Contrato;</w:t>
      </w:r>
    </w:p>
    <w:p w14:paraId="6AB21F15" w14:textId="5AADDD41" w:rsidR="00372E7C" w:rsidRPr="00372E7C" w:rsidRDefault="00372E7C" w:rsidP="00C51E45">
      <w:pPr>
        <w:pStyle w:val="PargrafodaLista"/>
        <w:numPr>
          <w:ilvl w:val="0"/>
          <w:numId w:val="17"/>
        </w:numPr>
        <w:jc w:val="both"/>
        <w:rPr>
          <w:rFonts w:ascii="Times New Roman" w:hAnsi="Times New Roman" w:cs="Times New Roman"/>
          <w:sz w:val="24"/>
        </w:rPr>
      </w:pPr>
      <w:r>
        <w:rPr>
          <w:rFonts w:ascii="Times New Roman" w:hAnsi="Times New Roman" w:cs="Times New Roman"/>
          <w:sz w:val="24"/>
        </w:rPr>
        <w:t>Envio do O</w:t>
      </w:r>
      <w:r w:rsidRPr="00372E7C">
        <w:rPr>
          <w:rFonts w:ascii="Times New Roman" w:hAnsi="Times New Roman" w:cs="Times New Roman"/>
          <w:sz w:val="24"/>
        </w:rPr>
        <w:t>fício ao banco por E-mail</w:t>
      </w:r>
      <w:r>
        <w:rPr>
          <w:rFonts w:ascii="Times New Roman" w:hAnsi="Times New Roman" w:cs="Times New Roman"/>
          <w:sz w:val="24"/>
        </w:rPr>
        <w:t>;</w:t>
      </w:r>
    </w:p>
    <w:p w14:paraId="4E5F5A12" w14:textId="45BC0F90" w:rsidR="00372E7C" w:rsidRPr="00372E7C" w:rsidRDefault="00372E7C" w:rsidP="00C51E45">
      <w:pPr>
        <w:pStyle w:val="PargrafodaLista"/>
        <w:numPr>
          <w:ilvl w:val="0"/>
          <w:numId w:val="17"/>
        </w:numPr>
        <w:jc w:val="both"/>
        <w:rPr>
          <w:rFonts w:ascii="Times New Roman" w:hAnsi="Times New Roman" w:cs="Times New Roman"/>
          <w:sz w:val="24"/>
        </w:rPr>
      </w:pPr>
      <w:r w:rsidRPr="00372E7C">
        <w:rPr>
          <w:rFonts w:ascii="Times New Roman" w:hAnsi="Times New Roman" w:cs="Times New Roman"/>
          <w:sz w:val="24"/>
        </w:rPr>
        <w:t>Anexar documentação ao processo de Gestão da C</w:t>
      </w:r>
      <w:r>
        <w:rPr>
          <w:rFonts w:ascii="Times New Roman" w:hAnsi="Times New Roman" w:cs="Times New Roman"/>
          <w:sz w:val="24"/>
        </w:rPr>
        <w:t xml:space="preserve">onta </w:t>
      </w:r>
      <w:r w:rsidRPr="00372E7C">
        <w:rPr>
          <w:rFonts w:ascii="Times New Roman" w:hAnsi="Times New Roman" w:cs="Times New Roman"/>
          <w:sz w:val="24"/>
        </w:rPr>
        <w:t>V</w:t>
      </w:r>
      <w:r>
        <w:rPr>
          <w:rFonts w:ascii="Times New Roman" w:hAnsi="Times New Roman" w:cs="Times New Roman"/>
          <w:sz w:val="24"/>
        </w:rPr>
        <w:t>inculada;</w:t>
      </w:r>
    </w:p>
    <w:p w14:paraId="3B0F3E87" w14:textId="703272AB" w:rsidR="00372E7C" w:rsidRPr="00372E7C" w:rsidRDefault="00372E7C" w:rsidP="00C51E45">
      <w:pPr>
        <w:pStyle w:val="PargrafodaLista"/>
        <w:numPr>
          <w:ilvl w:val="0"/>
          <w:numId w:val="17"/>
        </w:numPr>
        <w:jc w:val="both"/>
        <w:rPr>
          <w:rFonts w:ascii="Times New Roman" w:hAnsi="Times New Roman" w:cs="Times New Roman"/>
          <w:sz w:val="24"/>
        </w:rPr>
      </w:pPr>
      <w:r w:rsidRPr="00372E7C">
        <w:rPr>
          <w:rFonts w:ascii="Times New Roman" w:hAnsi="Times New Roman" w:cs="Times New Roman"/>
          <w:sz w:val="24"/>
        </w:rPr>
        <w:t>Conferir/solicitar o envio dos documentos de quitação das obrigações</w:t>
      </w:r>
      <w:r>
        <w:rPr>
          <w:rFonts w:ascii="Times New Roman" w:hAnsi="Times New Roman" w:cs="Times New Roman"/>
          <w:sz w:val="24"/>
        </w:rPr>
        <w:t>;</w:t>
      </w:r>
    </w:p>
    <w:p w14:paraId="02CAC3F0" w14:textId="461D6181" w:rsidR="00372E7C" w:rsidRPr="00372E7C" w:rsidRDefault="00372E7C" w:rsidP="00C51E45">
      <w:pPr>
        <w:pStyle w:val="PargrafodaLista"/>
        <w:numPr>
          <w:ilvl w:val="0"/>
          <w:numId w:val="17"/>
        </w:numPr>
        <w:jc w:val="both"/>
        <w:rPr>
          <w:rFonts w:ascii="Times New Roman" w:hAnsi="Times New Roman" w:cs="Times New Roman"/>
          <w:sz w:val="24"/>
        </w:rPr>
      </w:pPr>
      <w:r w:rsidRPr="00372E7C">
        <w:rPr>
          <w:rFonts w:ascii="Times New Roman" w:hAnsi="Times New Roman" w:cs="Times New Roman"/>
          <w:sz w:val="24"/>
        </w:rPr>
        <w:t>Anexar a documentação de quitação ao processo de Gestão da C</w:t>
      </w:r>
      <w:r>
        <w:rPr>
          <w:rFonts w:ascii="Times New Roman" w:hAnsi="Times New Roman" w:cs="Times New Roman"/>
          <w:sz w:val="24"/>
        </w:rPr>
        <w:t xml:space="preserve">onta </w:t>
      </w:r>
      <w:r w:rsidRPr="00372E7C">
        <w:rPr>
          <w:rFonts w:ascii="Times New Roman" w:hAnsi="Times New Roman" w:cs="Times New Roman"/>
          <w:sz w:val="24"/>
        </w:rPr>
        <w:t>V</w:t>
      </w:r>
      <w:r>
        <w:rPr>
          <w:rFonts w:ascii="Times New Roman" w:hAnsi="Times New Roman" w:cs="Times New Roman"/>
          <w:sz w:val="24"/>
        </w:rPr>
        <w:t>inculada.</w:t>
      </w:r>
    </w:p>
    <w:p w14:paraId="14768F70" w14:textId="47025140" w:rsidR="00FD2F19" w:rsidRPr="00372E7C" w:rsidRDefault="00FD2F19" w:rsidP="00C51E45">
      <w:pPr>
        <w:ind w:firstLine="708"/>
        <w:jc w:val="both"/>
        <w:rPr>
          <w:rFonts w:ascii="Times New Roman" w:hAnsi="Times New Roman" w:cs="Times New Roman"/>
          <w:sz w:val="24"/>
        </w:rPr>
      </w:pPr>
      <w:r w:rsidRPr="00372E7C">
        <w:rPr>
          <w:rFonts w:ascii="Times New Roman" w:hAnsi="Times New Roman" w:cs="Times New Roman"/>
          <w:sz w:val="24"/>
        </w:rPr>
        <w:t>O usuário da ferramenta pode inserir outros itens na lista de verificações, além daqueles já pré-estabelecidos</w:t>
      </w:r>
    </w:p>
    <w:p w14:paraId="193920F4" w14:textId="7BEC7925" w:rsidR="007E398C" w:rsidRDefault="007E398C" w:rsidP="007E398C">
      <w:pPr>
        <w:pStyle w:val="PargrafodaLista"/>
        <w:numPr>
          <w:ilvl w:val="0"/>
          <w:numId w:val="13"/>
        </w:numPr>
        <w:jc w:val="both"/>
        <w:rPr>
          <w:rFonts w:ascii="Times New Roman" w:hAnsi="Times New Roman" w:cs="Times New Roman"/>
          <w:b/>
          <w:sz w:val="24"/>
        </w:rPr>
      </w:pPr>
      <w:r w:rsidRPr="004C4A09">
        <w:rPr>
          <w:rFonts w:ascii="Times New Roman" w:hAnsi="Times New Roman" w:cs="Times New Roman"/>
          <w:b/>
          <w:sz w:val="24"/>
        </w:rPr>
        <w:t>Planilhas PARACELAS DE 1 A 72</w:t>
      </w:r>
      <w:r w:rsidR="00680E8E">
        <w:rPr>
          <w:rFonts w:ascii="Times New Roman" w:hAnsi="Times New Roman" w:cs="Times New Roman"/>
          <w:b/>
          <w:sz w:val="24"/>
        </w:rPr>
        <w:t xml:space="preserve"> – Provisionamento Mensal</w:t>
      </w:r>
      <w:r w:rsidRPr="004C4A09">
        <w:rPr>
          <w:rFonts w:ascii="Times New Roman" w:hAnsi="Times New Roman" w:cs="Times New Roman"/>
          <w:b/>
          <w:sz w:val="24"/>
        </w:rPr>
        <w:t>:</w:t>
      </w:r>
    </w:p>
    <w:p w14:paraId="39F0728F" w14:textId="043F886F" w:rsidR="00372E7C" w:rsidRDefault="00372E7C" w:rsidP="008361C7">
      <w:pPr>
        <w:spacing w:after="0"/>
        <w:ind w:firstLine="708"/>
        <w:jc w:val="both"/>
        <w:rPr>
          <w:rFonts w:ascii="Times New Roman" w:hAnsi="Times New Roman" w:cs="Times New Roman"/>
          <w:sz w:val="24"/>
        </w:rPr>
      </w:pPr>
      <w:r>
        <w:rPr>
          <w:rFonts w:ascii="Times New Roman" w:hAnsi="Times New Roman" w:cs="Times New Roman"/>
          <w:sz w:val="24"/>
        </w:rPr>
        <w:t xml:space="preserve">As planilhas “PARCELA X”, de 1 a 72, correspondem aos provisionamentos mensais durante a vigência do contrato que podem chegar </w:t>
      </w:r>
      <w:r w:rsidR="008361C7">
        <w:rPr>
          <w:rFonts w:ascii="Times New Roman" w:hAnsi="Times New Roman" w:cs="Times New Roman"/>
          <w:sz w:val="24"/>
        </w:rPr>
        <w:t>a 72 em caso de prorrogação por até 60 (sessenta) meses e ainda outros 12 (doze) meses em caráter excepcional.</w:t>
      </w:r>
    </w:p>
    <w:p w14:paraId="1461CA64" w14:textId="081D0056" w:rsidR="008361C7" w:rsidRDefault="008361C7" w:rsidP="008361C7">
      <w:pPr>
        <w:ind w:firstLine="708"/>
        <w:jc w:val="both"/>
        <w:rPr>
          <w:rFonts w:ascii="Times New Roman" w:hAnsi="Times New Roman" w:cs="Times New Roman"/>
          <w:sz w:val="24"/>
        </w:rPr>
      </w:pPr>
      <w:r>
        <w:rPr>
          <w:rFonts w:ascii="Times New Roman" w:hAnsi="Times New Roman" w:cs="Times New Roman"/>
          <w:sz w:val="24"/>
        </w:rPr>
        <w:t xml:space="preserve">A figura 12, ilustra o modelo de planilha da “PARCELA 1”, o usuário deve informar respectivamente no primeiro mês de provisionamento: nome do empregado, cargo e remuneração (salário base </w:t>
      </w:r>
      <w:proofErr w:type="gramStart"/>
      <w:r>
        <w:rPr>
          <w:rFonts w:ascii="Times New Roman" w:hAnsi="Times New Roman" w:cs="Times New Roman"/>
          <w:sz w:val="24"/>
        </w:rPr>
        <w:t>+</w:t>
      </w:r>
      <w:proofErr w:type="gramEnd"/>
      <w:r>
        <w:rPr>
          <w:rFonts w:ascii="Times New Roman" w:hAnsi="Times New Roman" w:cs="Times New Roman"/>
          <w:sz w:val="24"/>
        </w:rPr>
        <w:t xml:space="preserve"> adicionais). Esta remuneração deve ser extraída do Módulo I – Composição da Remuneração, da planilha de custos e formação de preços do contrato.</w:t>
      </w:r>
    </w:p>
    <w:p w14:paraId="3B6364C6" w14:textId="77777777" w:rsidR="008361C7" w:rsidRDefault="008361C7" w:rsidP="008361C7">
      <w:pPr>
        <w:keepNext/>
        <w:jc w:val="both"/>
      </w:pPr>
      <w:r w:rsidRPr="008361C7">
        <w:rPr>
          <w:noProof/>
          <w:lang w:eastAsia="pt-BR"/>
        </w:rPr>
        <w:drawing>
          <wp:inline distT="0" distB="0" distL="0" distR="0" wp14:anchorId="6D10A777" wp14:editId="3F4C096E">
            <wp:extent cx="5760085" cy="1364478"/>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1364478"/>
                    </a:xfrm>
                    <a:prstGeom prst="rect">
                      <a:avLst/>
                    </a:prstGeom>
                    <a:noFill/>
                    <a:ln>
                      <a:noFill/>
                    </a:ln>
                  </pic:spPr>
                </pic:pic>
              </a:graphicData>
            </a:graphic>
          </wp:inline>
        </w:drawing>
      </w:r>
    </w:p>
    <w:p w14:paraId="39904EAF" w14:textId="6715E19D" w:rsidR="008361C7" w:rsidRDefault="008361C7" w:rsidP="008361C7">
      <w:pPr>
        <w:pStyle w:val="Legenda"/>
        <w:jc w:val="center"/>
        <w:rPr>
          <w:rFonts w:ascii="Times New Roman" w:hAnsi="Times New Roman" w:cs="Times New Roman"/>
          <w:color w:val="auto"/>
        </w:rPr>
      </w:pPr>
      <w:r w:rsidRPr="008361C7">
        <w:rPr>
          <w:rFonts w:ascii="Times New Roman" w:hAnsi="Times New Roman" w:cs="Times New Roman"/>
          <w:color w:val="auto"/>
        </w:rPr>
        <w:t xml:space="preserve">Figura </w:t>
      </w:r>
      <w:r w:rsidRPr="008361C7">
        <w:rPr>
          <w:rFonts w:ascii="Times New Roman" w:hAnsi="Times New Roman" w:cs="Times New Roman"/>
          <w:color w:val="auto"/>
        </w:rPr>
        <w:fldChar w:fldCharType="begin"/>
      </w:r>
      <w:r w:rsidRPr="008361C7">
        <w:rPr>
          <w:rFonts w:ascii="Times New Roman" w:hAnsi="Times New Roman" w:cs="Times New Roman"/>
          <w:color w:val="auto"/>
        </w:rPr>
        <w:instrText xml:space="preserve"> SEQ Figura \* ARABIC </w:instrText>
      </w:r>
      <w:r w:rsidRPr="008361C7">
        <w:rPr>
          <w:rFonts w:ascii="Times New Roman" w:hAnsi="Times New Roman" w:cs="Times New Roman"/>
          <w:color w:val="auto"/>
        </w:rPr>
        <w:fldChar w:fldCharType="separate"/>
      </w:r>
      <w:r w:rsidR="004D7A91">
        <w:rPr>
          <w:rFonts w:ascii="Times New Roman" w:hAnsi="Times New Roman" w:cs="Times New Roman"/>
          <w:noProof/>
          <w:color w:val="auto"/>
        </w:rPr>
        <w:t>12</w:t>
      </w:r>
      <w:r w:rsidRPr="008361C7">
        <w:rPr>
          <w:rFonts w:ascii="Times New Roman" w:hAnsi="Times New Roman" w:cs="Times New Roman"/>
          <w:color w:val="auto"/>
        </w:rPr>
        <w:fldChar w:fldCharType="end"/>
      </w:r>
      <w:r w:rsidRPr="008361C7">
        <w:rPr>
          <w:rFonts w:ascii="Times New Roman" w:hAnsi="Times New Roman" w:cs="Times New Roman"/>
          <w:color w:val="auto"/>
        </w:rPr>
        <w:t xml:space="preserve"> - PARCELA 1</w:t>
      </w:r>
    </w:p>
    <w:p w14:paraId="4CD4D194" w14:textId="13D18933" w:rsidR="008361C7" w:rsidRDefault="008361C7" w:rsidP="00C51E45">
      <w:pPr>
        <w:spacing w:after="0"/>
        <w:jc w:val="both"/>
        <w:rPr>
          <w:rFonts w:ascii="Times New Roman" w:hAnsi="Times New Roman" w:cs="Times New Roman"/>
          <w:sz w:val="24"/>
        </w:rPr>
      </w:pPr>
      <w:r>
        <w:lastRenderedPageBreak/>
        <w:tab/>
      </w:r>
      <w:r w:rsidR="006B76D2" w:rsidRPr="006B76D2">
        <w:rPr>
          <w:rFonts w:ascii="Times New Roman" w:hAnsi="Times New Roman" w:cs="Times New Roman"/>
          <w:sz w:val="24"/>
        </w:rPr>
        <w:t>A ferramenta efetua automaticamente os cálculos dos valores a serem provisionados, assim como o valor total provisionado por funcionário.</w:t>
      </w:r>
    </w:p>
    <w:p w14:paraId="2574AEC1" w14:textId="0B3C57E3" w:rsidR="00C51E45" w:rsidRDefault="006B76D2" w:rsidP="00C51E45">
      <w:pPr>
        <w:jc w:val="both"/>
        <w:rPr>
          <w:rFonts w:ascii="Times New Roman" w:hAnsi="Times New Roman" w:cs="Times New Roman"/>
          <w:sz w:val="24"/>
        </w:rPr>
      </w:pPr>
      <w:r>
        <w:rPr>
          <w:rFonts w:ascii="Times New Roman" w:hAnsi="Times New Roman" w:cs="Times New Roman"/>
          <w:sz w:val="24"/>
        </w:rPr>
        <w:tab/>
      </w:r>
      <w:r w:rsidR="00C51E45">
        <w:rPr>
          <w:rFonts w:ascii="Times New Roman" w:hAnsi="Times New Roman" w:cs="Times New Roman"/>
          <w:sz w:val="24"/>
        </w:rPr>
        <w:t xml:space="preserve">As demais planilhas da ferramenta de Gestão da C-DV </w:t>
      </w:r>
      <w:proofErr w:type="spellStart"/>
      <w:r w:rsidR="00C51E45">
        <w:rPr>
          <w:rFonts w:ascii="Times New Roman" w:hAnsi="Times New Roman" w:cs="Times New Roman"/>
          <w:sz w:val="24"/>
        </w:rPr>
        <w:t>IFSul</w:t>
      </w:r>
      <w:proofErr w:type="spellEnd"/>
      <w:r w:rsidR="00C51E45">
        <w:rPr>
          <w:rFonts w:ascii="Times New Roman" w:hAnsi="Times New Roman" w:cs="Times New Roman"/>
          <w:sz w:val="24"/>
        </w:rPr>
        <w:t>, ou seja, planilhas da “PARCELA 2” até a “PARCELA 72” tem sua funcionalidade e preenchimento de igual forma ao da “PARCELA 1”, no entanto essas possuem também o cálculo do valor acumulado, conforme demonstrado na figura 13.</w:t>
      </w:r>
    </w:p>
    <w:p w14:paraId="6420E8F7" w14:textId="77777777" w:rsidR="00C51E45" w:rsidRDefault="00C51E45" w:rsidP="00C51E45">
      <w:pPr>
        <w:keepNext/>
        <w:jc w:val="both"/>
      </w:pPr>
      <w:r w:rsidRPr="00C51E45">
        <w:rPr>
          <w:noProof/>
          <w:lang w:eastAsia="pt-BR"/>
        </w:rPr>
        <w:drawing>
          <wp:inline distT="0" distB="0" distL="0" distR="0" wp14:anchorId="5C99C017" wp14:editId="56E79F6B">
            <wp:extent cx="5760085" cy="84274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85" cy="842747"/>
                    </a:xfrm>
                    <a:prstGeom prst="rect">
                      <a:avLst/>
                    </a:prstGeom>
                    <a:noFill/>
                    <a:ln>
                      <a:noFill/>
                    </a:ln>
                  </pic:spPr>
                </pic:pic>
              </a:graphicData>
            </a:graphic>
          </wp:inline>
        </w:drawing>
      </w:r>
    </w:p>
    <w:p w14:paraId="2504477B" w14:textId="5EBDEAED" w:rsidR="00C51E45" w:rsidRDefault="00C51E45" w:rsidP="00C51E45">
      <w:pPr>
        <w:pStyle w:val="Legenda"/>
        <w:jc w:val="center"/>
        <w:rPr>
          <w:rFonts w:ascii="Times New Roman" w:hAnsi="Times New Roman" w:cs="Times New Roman"/>
          <w:color w:val="auto"/>
        </w:rPr>
      </w:pPr>
      <w:r w:rsidRPr="00C51E45">
        <w:rPr>
          <w:rFonts w:ascii="Times New Roman" w:hAnsi="Times New Roman" w:cs="Times New Roman"/>
          <w:color w:val="auto"/>
        </w:rPr>
        <w:t xml:space="preserve">Figura </w:t>
      </w:r>
      <w:r w:rsidRPr="00C51E45">
        <w:rPr>
          <w:rFonts w:ascii="Times New Roman" w:hAnsi="Times New Roman" w:cs="Times New Roman"/>
          <w:color w:val="auto"/>
        </w:rPr>
        <w:fldChar w:fldCharType="begin"/>
      </w:r>
      <w:r w:rsidRPr="00C51E45">
        <w:rPr>
          <w:rFonts w:ascii="Times New Roman" w:hAnsi="Times New Roman" w:cs="Times New Roman"/>
          <w:color w:val="auto"/>
        </w:rPr>
        <w:instrText xml:space="preserve"> SEQ Figura \* ARABIC </w:instrText>
      </w:r>
      <w:r w:rsidRPr="00C51E45">
        <w:rPr>
          <w:rFonts w:ascii="Times New Roman" w:hAnsi="Times New Roman" w:cs="Times New Roman"/>
          <w:color w:val="auto"/>
        </w:rPr>
        <w:fldChar w:fldCharType="separate"/>
      </w:r>
      <w:r w:rsidR="004D7A91">
        <w:rPr>
          <w:rFonts w:ascii="Times New Roman" w:hAnsi="Times New Roman" w:cs="Times New Roman"/>
          <w:noProof/>
          <w:color w:val="auto"/>
        </w:rPr>
        <w:t>13</w:t>
      </w:r>
      <w:r w:rsidRPr="00C51E45">
        <w:rPr>
          <w:rFonts w:ascii="Times New Roman" w:hAnsi="Times New Roman" w:cs="Times New Roman"/>
          <w:color w:val="auto"/>
        </w:rPr>
        <w:fldChar w:fldCharType="end"/>
      </w:r>
      <w:r w:rsidRPr="00C51E45">
        <w:rPr>
          <w:rFonts w:ascii="Times New Roman" w:hAnsi="Times New Roman" w:cs="Times New Roman"/>
          <w:color w:val="auto"/>
        </w:rPr>
        <w:t xml:space="preserve"> - Cálculo do valor acumulado</w:t>
      </w:r>
    </w:p>
    <w:p w14:paraId="16EB580A" w14:textId="1C907803" w:rsidR="00C51E45" w:rsidRPr="005673E9" w:rsidRDefault="00C51E45" w:rsidP="00C51E45">
      <w:pPr>
        <w:rPr>
          <w:rFonts w:ascii="Times New Roman" w:hAnsi="Times New Roman" w:cs="Times New Roman"/>
        </w:rPr>
      </w:pPr>
      <w:r>
        <w:tab/>
      </w:r>
      <w:r w:rsidRPr="005673E9">
        <w:rPr>
          <w:rFonts w:ascii="Times New Roman" w:hAnsi="Times New Roman" w:cs="Times New Roman"/>
          <w:sz w:val="24"/>
        </w:rPr>
        <w:t xml:space="preserve">Os valores provisionados nesta parte da planilha são efetuados de forma automática ao longo das parcelas, sendo necessário apenas informar o nome do funcionário na mesma ordem de referência </w:t>
      </w:r>
      <w:r w:rsidR="005673E9" w:rsidRPr="005673E9">
        <w:rPr>
          <w:rFonts w:ascii="Times New Roman" w:hAnsi="Times New Roman" w:cs="Times New Roman"/>
          <w:sz w:val="24"/>
        </w:rPr>
        <w:t>em que foram provisionados os valores mensais.</w:t>
      </w:r>
    </w:p>
    <w:p w14:paraId="5421CA0B" w14:textId="1B8094C5" w:rsidR="002F35A8" w:rsidRDefault="002F35A8" w:rsidP="002F35A8">
      <w:pPr>
        <w:pStyle w:val="PargrafodaLista"/>
        <w:numPr>
          <w:ilvl w:val="0"/>
          <w:numId w:val="13"/>
        </w:numPr>
        <w:jc w:val="both"/>
        <w:rPr>
          <w:rFonts w:ascii="Times New Roman" w:hAnsi="Times New Roman" w:cs="Times New Roman"/>
          <w:b/>
          <w:sz w:val="24"/>
        </w:rPr>
      </w:pPr>
      <w:r>
        <w:rPr>
          <w:rFonts w:ascii="Times New Roman" w:hAnsi="Times New Roman" w:cs="Times New Roman"/>
          <w:b/>
          <w:sz w:val="24"/>
        </w:rPr>
        <w:t>Provisionamento de Valores M</w:t>
      </w:r>
      <w:r w:rsidRPr="002F35A8">
        <w:rPr>
          <w:rFonts w:ascii="Times New Roman" w:hAnsi="Times New Roman" w:cs="Times New Roman"/>
          <w:b/>
          <w:sz w:val="24"/>
        </w:rPr>
        <w:t>ensais em Conta-Depósito Vinculada:</w:t>
      </w:r>
    </w:p>
    <w:p w14:paraId="2AFD77F4" w14:textId="77777777" w:rsidR="002F35A8" w:rsidRPr="002F35A8" w:rsidRDefault="002F35A8" w:rsidP="005673E9">
      <w:pPr>
        <w:spacing w:after="0"/>
        <w:ind w:firstLine="708"/>
        <w:jc w:val="both"/>
        <w:rPr>
          <w:rFonts w:ascii="Times New Roman" w:hAnsi="Times New Roman" w:cs="Times New Roman"/>
          <w:sz w:val="24"/>
        </w:rPr>
      </w:pPr>
      <w:r w:rsidRPr="002F35A8">
        <w:rPr>
          <w:rFonts w:ascii="Times New Roman" w:hAnsi="Times New Roman" w:cs="Times New Roman"/>
          <w:sz w:val="24"/>
        </w:rPr>
        <w:t>As empresas contratadas podem não se sentir incentivadas a promover ações de sua responsabilidade durante a abertura da conta vinculada, em especial sobre interlocução com a instituição financeira responsável pela sustentação da conta.</w:t>
      </w:r>
    </w:p>
    <w:p w14:paraId="0E666877" w14:textId="4B4D30A3" w:rsidR="002F35A8" w:rsidRDefault="002F35A8" w:rsidP="005673E9">
      <w:pPr>
        <w:spacing w:after="0"/>
        <w:ind w:firstLine="708"/>
        <w:jc w:val="both"/>
        <w:rPr>
          <w:rFonts w:ascii="Times New Roman" w:hAnsi="Times New Roman" w:cs="Times New Roman"/>
          <w:sz w:val="24"/>
        </w:rPr>
      </w:pPr>
      <w:r w:rsidRPr="002F35A8">
        <w:rPr>
          <w:rFonts w:ascii="Times New Roman" w:hAnsi="Times New Roman" w:cs="Times New Roman"/>
          <w:sz w:val="24"/>
        </w:rPr>
        <w:t xml:space="preserve">Nesse cenário, a equipe de gestão contratual não deve esperar a abertura da conta vinculada para iniciar a retenção dos valores. A retenção pode ser realizada desde a primeira fatura, </w:t>
      </w:r>
      <w:r w:rsidR="005673E9">
        <w:rPr>
          <w:rFonts w:ascii="Times New Roman" w:hAnsi="Times New Roman" w:cs="Times New Roman"/>
          <w:sz w:val="24"/>
        </w:rPr>
        <w:t>com a indicação dos valores no Relatório de Recebimento D</w:t>
      </w:r>
      <w:r w:rsidRPr="002F35A8">
        <w:rPr>
          <w:rFonts w:ascii="Times New Roman" w:hAnsi="Times New Roman" w:cs="Times New Roman"/>
          <w:sz w:val="24"/>
        </w:rPr>
        <w:t>efinitivo</w:t>
      </w:r>
      <w:r w:rsidR="005673E9">
        <w:rPr>
          <w:rFonts w:ascii="Times New Roman" w:hAnsi="Times New Roman" w:cs="Times New Roman"/>
          <w:sz w:val="24"/>
        </w:rPr>
        <w:t xml:space="preserve"> dos Serviços</w:t>
      </w:r>
      <w:r w:rsidRPr="002F35A8">
        <w:rPr>
          <w:rFonts w:ascii="Times New Roman" w:hAnsi="Times New Roman" w:cs="Times New Roman"/>
          <w:sz w:val="24"/>
        </w:rPr>
        <w:t>, ficando a verba provisionada na Nota de Empenho até a conclusão da formalização da conta, o que permitirá o depósito pela equipe de execução orçamentária e financeira.</w:t>
      </w:r>
    </w:p>
    <w:p w14:paraId="72F20814" w14:textId="234EFDF6" w:rsidR="002F35A8" w:rsidRDefault="002F35A8" w:rsidP="005673E9">
      <w:pPr>
        <w:spacing w:after="0"/>
        <w:ind w:firstLine="708"/>
        <w:jc w:val="both"/>
        <w:rPr>
          <w:rFonts w:ascii="Times New Roman" w:hAnsi="Times New Roman" w:cs="Times New Roman"/>
          <w:sz w:val="24"/>
        </w:rPr>
      </w:pPr>
      <w:r w:rsidRPr="00AA2E2A">
        <w:rPr>
          <w:rFonts w:ascii="Times New Roman" w:hAnsi="Times New Roman" w:cs="Times New Roman"/>
          <w:sz w:val="24"/>
        </w:rPr>
        <w:t>A legislação prevê, no caso de pedidos de liberação dos recursos pelas empresas, de forma justificada, que a Administração deve autorizar a instituição financeira a creditar os recursos na conta bancária das empresas contratadas antes da data prevista para quitação das obrigações. Muitas empresas adotam o costume de quitar as obrigações antes e somente depois solicitar a liberação dos recursos da conta vinculada. Esse segundo cenário aparenta ser mais seguro para a Ad</w:t>
      </w:r>
      <w:r>
        <w:rPr>
          <w:rFonts w:ascii="Times New Roman" w:hAnsi="Times New Roman" w:cs="Times New Roman"/>
          <w:sz w:val="24"/>
        </w:rPr>
        <w:t>ministração, no entanto é plena</w:t>
      </w:r>
      <w:r w:rsidRPr="00AA2E2A">
        <w:rPr>
          <w:rFonts w:ascii="Times New Roman" w:hAnsi="Times New Roman" w:cs="Times New Roman"/>
          <w:sz w:val="24"/>
        </w:rPr>
        <w:t>mente possível a liberação prévia caso seja solicitado pela Contratada. Se a empresa não quitar as obrigações, devem ser tomadas as med</w:t>
      </w:r>
      <w:r>
        <w:rPr>
          <w:rFonts w:ascii="Times New Roman" w:hAnsi="Times New Roman" w:cs="Times New Roman"/>
          <w:sz w:val="24"/>
        </w:rPr>
        <w:t>idas de resguardo da Administra</w:t>
      </w:r>
      <w:r w:rsidRPr="00AA2E2A">
        <w:rPr>
          <w:rFonts w:ascii="Times New Roman" w:hAnsi="Times New Roman" w:cs="Times New Roman"/>
          <w:sz w:val="24"/>
        </w:rPr>
        <w:t>ção, como glosa do montante na fatura seguinte e ver</w:t>
      </w:r>
      <w:r>
        <w:rPr>
          <w:rFonts w:ascii="Times New Roman" w:hAnsi="Times New Roman" w:cs="Times New Roman"/>
          <w:sz w:val="24"/>
        </w:rPr>
        <w:t>ificação da oportunidade de apu</w:t>
      </w:r>
      <w:r w:rsidRPr="00AA2E2A">
        <w:rPr>
          <w:rFonts w:ascii="Times New Roman" w:hAnsi="Times New Roman" w:cs="Times New Roman"/>
          <w:sz w:val="24"/>
        </w:rPr>
        <w:t>rar irregularidade na execução contratual.</w:t>
      </w:r>
    </w:p>
    <w:p w14:paraId="2CB1C4A9" w14:textId="77777777" w:rsidR="005673E9" w:rsidRDefault="002F35A8" w:rsidP="005673E9">
      <w:pPr>
        <w:spacing w:after="0"/>
        <w:ind w:firstLine="708"/>
        <w:jc w:val="both"/>
        <w:rPr>
          <w:rFonts w:ascii="Times New Roman" w:hAnsi="Times New Roman" w:cs="Times New Roman"/>
          <w:sz w:val="24"/>
        </w:rPr>
      </w:pPr>
      <w:r w:rsidRPr="002F35A8">
        <w:rPr>
          <w:rFonts w:ascii="Times New Roman" w:hAnsi="Times New Roman" w:cs="Times New Roman"/>
          <w:sz w:val="24"/>
        </w:rPr>
        <w:t>As retenções em conta vinculada alcançam somente os funcionários titulares dos pos</w:t>
      </w:r>
      <w:r w:rsidR="005673E9">
        <w:rPr>
          <w:rFonts w:ascii="Times New Roman" w:hAnsi="Times New Roman" w:cs="Times New Roman"/>
          <w:sz w:val="24"/>
        </w:rPr>
        <w:t xml:space="preserve">tos de trabalho alocados na execução do objeto nos </w:t>
      </w:r>
      <w:r w:rsidRPr="002F35A8">
        <w:rPr>
          <w:rFonts w:ascii="Times New Roman" w:hAnsi="Times New Roman" w:cs="Times New Roman"/>
          <w:sz w:val="24"/>
        </w:rPr>
        <w:t>contratos administrativos</w:t>
      </w:r>
      <w:r w:rsidR="005673E9">
        <w:rPr>
          <w:rFonts w:ascii="Times New Roman" w:hAnsi="Times New Roman" w:cs="Times New Roman"/>
          <w:sz w:val="24"/>
        </w:rPr>
        <w:t xml:space="preserve"> do </w:t>
      </w:r>
      <w:proofErr w:type="spellStart"/>
      <w:r w:rsidR="005673E9">
        <w:rPr>
          <w:rFonts w:ascii="Times New Roman" w:hAnsi="Times New Roman" w:cs="Times New Roman"/>
          <w:sz w:val="24"/>
        </w:rPr>
        <w:t>IFSul</w:t>
      </w:r>
      <w:proofErr w:type="spellEnd"/>
      <w:r w:rsidRPr="002F35A8">
        <w:rPr>
          <w:rFonts w:ascii="Times New Roman" w:hAnsi="Times New Roman" w:cs="Times New Roman"/>
          <w:sz w:val="24"/>
        </w:rPr>
        <w:t xml:space="preserve">. Quando há algum afastamento provisório de </w:t>
      </w:r>
      <w:r w:rsidR="005673E9">
        <w:rPr>
          <w:rFonts w:ascii="Times New Roman" w:hAnsi="Times New Roman" w:cs="Times New Roman"/>
          <w:sz w:val="24"/>
        </w:rPr>
        <w:t>colaborador</w:t>
      </w:r>
      <w:r w:rsidRPr="002F35A8">
        <w:rPr>
          <w:rFonts w:ascii="Times New Roman" w:hAnsi="Times New Roman" w:cs="Times New Roman"/>
          <w:sz w:val="24"/>
        </w:rPr>
        <w:t xml:space="preserve">, deve ser mantida sua retenção completa. Não há possibilidade de efetuar retenção para os eventuais substitutos dos postos de trabalho, isso implicaria em dupla retenção. Também não há como reter somente para os substitutos, pois isso significa não provisionar os valores referentes ao titular, sobre o qual há maior responsabilidade da Administração sobre essas verbas. </w:t>
      </w:r>
    </w:p>
    <w:p w14:paraId="2871945F" w14:textId="4820C852" w:rsidR="002F35A8" w:rsidRPr="002F35A8" w:rsidRDefault="002F35A8" w:rsidP="002F35A8">
      <w:pPr>
        <w:ind w:firstLine="708"/>
        <w:jc w:val="both"/>
        <w:rPr>
          <w:rFonts w:ascii="Times New Roman" w:hAnsi="Times New Roman" w:cs="Times New Roman"/>
          <w:sz w:val="24"/>
        </w:rPr>
      </w:pPr>
      <w:r w:rsidRPr="002F35A8">
        <w:rPr>
          <w:rFonts w:ascii="Times New Roman" w:hAnsi="Times New Roman" w:cs="Times New Roman"/>
          <w:sz w:val="24"/>
        </w:rPr>
        <w:lastRenderedPageBreak/>
        <w:t>É importante compreender a conta vinculada como mecanismo de mitigar os riscos, a ferramenta não os elimina completamente. Seria necessário um instrumento muito mais</w:t>
      </w:r>
      <w:r>
        <w:rPr>
          <w:rFonts w:ascii="Times New Roman" w:hAnsi="Times New Roman" w:cs="Times New Roman"/>
          <w:sz w:val="24"/>
        </w:rPr>
        <w:t xml:space="preserve"> </w:t>
      </w:r>
      <w:r w:rsidRPr="002F35A8">
        <w:rPr>
          <w:rFonts w:ascii="Times New Roman" w:hAnsi="Times New Roman" w:cs="Times New Roman"/>
          <w:sz w:val="24"/>
        </w:rPr>
        <w:t>complexo para abarcar todas as possibilidades de retenção de verbas, com custo de operacionalização certamente superior ao benefício do controle.</w:t>
      </w:r>
    </w:p>
    <w:p w14:paraId="039ED817" w14:textId="0614E633" w:rsidR="008412D9" w:rsidRDefault="008412D9" w:rsidP="007E398C">
      <w:pPr>
        <w:pStyle w:val="PargrafodaLista"/>
        <w:numPr>
          <w:ilvl w:val="0"/>
          <w:numId w:val="13"/>
        </w:numPr>
        <w:jc w:val="both"/>
        <w:rPr>
          <w:rFonts w:ascii="Times New Roman" w:hAnsi="Times New Roman" w:cs="Times New Roman"/>
          <w:b/>
          <w:sz w:val="24"/>
        </w:rPr>
      </w:pPr>
      <w:r>
        <w:rPr>
          <w:rFonts w:ascii="Times New Roman" w:hAnsi="Times New Roman" w:cs="Times New Roman"/>
          <w:b/>
          <w:sz w:val="24"/>
        </w:rPr>
        <w:t>Provisionamento de Valores Retroativos</w:t>
      </w:r>
    </w:p>
    <w:p w14:paraId="6ACFF7E9" w14:textId="5FE9600B" w:rsidR="008412D9" w:rsidRDefault="008412D9" w:rsidP="00834B9E">
      <w:pPr>
        <w:spacing w:after="0"/>
        <w:ind w:firstLine="708"/>
        <w:jc w:val="both"/>
        <w:rPr>
          <w:rFonts w:ascii="Times New Roman" w:hAnsi="Times New Roman" w:cs="Times New Roman"/>
          <w:sz w:val="24"/>
        </w:rPr>
      </w:pPr>
      <w:r>
        <w:rPr>
          <w:rFonts w:ascii="Times New Roman" w:hAnsi="Times New Roman" w:cs="Times New Roman"/>
          <w:sz w:val="24"/>
        </w:rPr>
        <w:t>Em algum momento da gestão do contrato será necessário efetuar o provisionamento de valores retroativos, sejam eles em razão da repactuação contratual ou até mesmo em função de possível revisão do contrato, em razão de alteração de legislação e consequentemente dos percentuais provisionados.</w:t>
      </w:r>
    </w:p>
    <w:p w14:paraId="171668E7" w14:textId="5230CA58" w:rsidR="008412D9" w:rsidRDefault="00834B9E" w:rsidP="008412D9">
      <w:pPr>
        <w:ind w:firstLine="708"/>
        <w:jc w:val="both"/>
        <w:rPr>
          <w:rFonts w:ascii="Times New Roman" w:hAnsi="Times New Roman" w:cs="Times New Roman"/>
          <w:sz w:val="24"/>
        </w:rPr>
      </w:pPr>
      <w:r>
        <w:rPr>
          <w:rFonts w:ascii="Times New Roman" w:hAnsi="Times New Roman" w:cs="Times New Roman"/>
          <w:sz w:val="24"/>
        </w:rPr>
        <w:t>Nestes casos orientamos que seja procedido o cálculo da diferença mensal para cada mês que o valor da diferença deve ser provisionado e que a soma destes valores seja inserida em uma das linhas da “PARCELA” de provisionamento mensal, conforme demonstrado na figura 14.</w:t>
      </w:r>
    </w:p>
    <w:p w14:paraId="27C14CB9" w14:textId="77777777" w:rsidR="004D7A91" w:rsidRDefault="004D7A91" w:rsidP="004D7A91">
      <w:pPr>
        <w:keepNext/>
        <w:jc w:val="both"/>
      </w:pPr>
      <w:r w:rsidRPr="004D7A91">
        <w:rPr>
          <w:noProof/>
          <w:lang w:eastAsia="pt-BR"/>
        </w:rPr>
        <w:drawing>
          <wp:inline distT="0" distB="0" distL="0" distR="0" wp14:anchorId="0F63D2D9" wp14:editId="403B5216">
            <wp:extent cx="5760085" cy="654906"/>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085" cy="654906"/>
                    </a:xfrm>
                    <a:prstGeom prst="rect">
                      <a:avLst/>
                    </a:prstGeom>
                    <a:noFill/>
                    <a:ln>
                      <a:noFill/>
                    </a:ln>
                  </pic:spPr>
                </pic:pic>
              </a:graphicData>
            </a:graphic>
          </wp:inline>
        </w:drawing>
      </w:r>
      <w:r w:rsidR="00834B9E" w:rsidRPr="00834B9E">
        <w:rPr>
          <w:noProof/>
          <w:lang w:eastAsia="pt-BR"/>
        </w:rPr>
        <w:drawing>
          <wp:inline distT="0" distB="0" distL="0" distR="0" wp14:anchorId="6A8AEBE3" wp14:editId="6A42B982">
            <wp:extent cx="5756590" cy="837233"/>
            <wp:effectExtent l="0" t="0" r="0" b="127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t="80478"/>
                    <a:stretch/>
                  </pic:blipFill>
                  <pic:spPr bwMode="auto">
                    <a:xfrm>
                      <a:off x="0" y="0"/>
                      <a:ext cx="5760085" cy="837741"/>
                    </a:xfrm>
                    <a:prstGeom prst="rect">
                      <a:avLst/>
                    </a:prstGeom>
                    <a:noFill/>
                    <a:ln>
                      <a:noFill/>
                    </a:ln>
                    <a:extLst>
                      <a:ext uri="{53640926-AAD7-44D8-BBD7-CCE9431645EC}">
                        <a14:shadowObscured xmlns:a14="http://schemas.microsoft.com/office/drawing/2010/main"/>
                      </a:ext>
                    </a:extLst>
                  </pic:spPr>
                </pic:pic>
              </a:graphicData>
            </a:graphic>
          </wp:inline>
        </w:drawing>
      </w:r>
    </w:p>
    <w:p w14:paraId="22C41612" w14:textId="5439AD14" w:rsidR="00834B9E" w:rsidRDefault="004D7A91" w:rsidP="004D7A91">
      <w:pPr>
        <w:pStyle w:val="Legenda"/>
        <w:jc w:val="center"/>
        <w:rPr>
          <w:rFonts w:ascii="Times New Roman" w:hAnsi="Times New Roman" w:cs="Times New Roman"/>
          <w:color w:val="auto"/>
        </w:rPr>
      </w:pPr>
      <w:r w:rsidRPr="004D7A91">
        <w:rPr>
          <w:rFonts w:ascii="Times New Roman" w:hAnsi="Times New Roman" w:cs="Times New Roman"/>
          <w:color w:val="auto"/>
        </w:rPr>
        <w:t xml:space="preserve">Figura </w:t>
      </w:r>
      <w:r w:rsidRPr="004D7A91">
        <w:rPr>
          <w:rFonts w:ascii="Times New Roman" w:hAnsi="Times New Roman" w:cs="Times New Roman"/>
          <w:color w:val="auto"/>
        </w:rPr>
        <w:fldChar w:fldCharType="begin"/>
      </w:r>
      <w:r w:rsidRPr="004D7A91">
        <w:rPr>
          <w:rFonts w:ascii="Times New Roman" w:hAnsi="Times New Roman" w:cs="Times New Roman"/>
          <w:color w:val="auto"/>
        </w:rPr>
        <w:instrText xml:space="preserve"> SEQ Figura \* ARABIC </w:instrText>
      </w:r>
      <w:r w:rsidRPr="004D7A91">
        <w:rPr>
          <w:rFonts w:ascii="Times New Roman" w:hAnsi="Times New Roman" w:cs="Times New Roman"/>
          <w:color w:val="auto"/>
        </w:rPr>
        <w:fldChar w:fldCharType="separate"/>
      </w:r>
      <w:r w:rsidRPr="004D7A91">
        <w:rPr>
          <w:rFonts w:ascii="Times New Roman" w:hAnsi="Times New Roman" w:cs="Times New Roman"/>
          <w:noProof/>
          <w:color w:val="auto"/>
        </w:rPr>
        <w:t>14</w:t>
      </w:r>
      <w:r w:rsidRPr="004D7A91">
        <w:rPr>
          <w:rFonts w:ascii="Times New Roman" w:hAnsi="Times New Roman" w:cs="Times New Roman"/>
          <w:color w:val="auto"/>
        </w:rPr>
        <w:fldChar w:fldCharType="end"/>
      </w:r>
      <w:r w:rsidRPr="004D7A91">
        <w:rPr>
          <w:rFonts w:ascii="Times New Roman" w:hAnsi="Times New Roman" w:cs="Times New Roman"/>
          <w:color w:val="auto"/>
        </w:rPr>
        <w:t xml:space="preserve"> - Procedimento para provisionamento de valores retroativos</w:t>
      </w:r>
    </w:p>
    <w:p w14:paraId="43B1CB51" w14:textId="4DE73B92" w:rsidR="004D7A91" w:rsidRPr="004D7A91" w:rsidRDefault="004D7A91" w:rsidP="004D7A91">
      <w:pPr>
        <w:jc w:val="both"/>
        <w:rPr>
          <w:rFonts w:ascii="Times New Roman" w:hAnsi="Times New Roman" w:cs="Times New Roman"/>
        </w:rPr>
      </w:pPr>
      <w:r>
        <w:tab/>
      </w:r>
      <w:r w:rsidRPr="004D7A91">
        <w:rPr>
          <w:rFonts w:ascii="Times New Roman" w:hAnsi="Times New Roman" w:cs="Times New Roman"/>
          <w:sz w:val="24"/>
        </w:rPr>
        <w:t>O valor a ser provisionado retroativamente</w:t>
      </w:r>
      <w:r>
        <w:rPr>
          <w:rFonts w:ascii="Times New Roman" w:hAnsi="Times New Roman" w:cs="Times New Roman"/>
          <w:sz w:val="24"/>
        </w:rPr>
        <w:t xml:space="preserve"> pode ser efetuado no valor da parcela de repactuação, cuja nota fiscal será emitida em parcela única, ou ser provisionado após a comunicação de conclusão da repactuação ou revisão pelo Núcleo de Procedimentos Contratuais. Neste caso a fiscalização administrativa deve provisionar a diferença retroativa na nota fiscal </w:t>
      </w:r>
      <w:r w:rsidR="000074C6">
        <w:rPr>
          <w:rFonts w:ascii="Times New Roman" w:hAnsi="Times New Roman" w:cs="Times New Roman"/>
          <w:sz w:val="24"/>
        </w:rPr>
        <w:t xml:space="preserve">subsequente, </w:t>
      </w:r>
      <w:r w:rsidRPr="004D7A91">
        <w:rPr>
          <w:rFonts w:ascii="Times New Roman" w:hAnsi="Times New Roman" w:cs="Times New Roman"/>
          <w:sz w:val="24"/>
        </w:rPr>
        <w:t>deve</w:t>
      </w:r>
      <w:r w:rsidR="000074C6">
        <w:rPr>
          <w:rFonts w:ascii="Times New Roman" w:hAnsi="Times New Roman" w:cs="Times New Roman"/>
          <w:sz w:val="24"/>
        </w:rPr>
        <w:t>ndo</w:t>
      </w:r>
      <w:r w:rsidRPr="004D7A91">
        <w:rPr>
          <w:rFonts w:ascii="Times New Roman" w:hAnsi="Times New Roman" w:cs="Times New Roman"/>
          <w:sz w:val="24"/>
        </w:rPr>
        <w:t xml:space="preserve"> informa</w:t>
      </w:r>
      <w:r w:rsidR="000074C6">
        <w:rPr>
          <w:rFonts w:ascii="Times New Roman" w:hAnsi="Times New Roman" w:cs="Times New Roman"/>
          <w:sz w:val="24"/>
        </w:rPr>
        <w:t>r</w:t>
      </w:r>
      <w:r>
        <w:rPr>
          <w:rFonts w:ascii="Times New Roman" w:hAnsi="Times New Roman" w:cs="Times New Roman"/>
          <w:sz w:val="24"/>
        </w:rPr>
        <w:t>, separadamente,</w:t>
      </w:r>
      <w:r w:rsidRPr="004D7A91">
        <w:rPr>
          <w:rFonts w:ascii="Times New Roman" w:hAnsi="Times New Roman" w:cs="Times New Roman"/>
          <w:sz w:val="24"/>
        </w:rPr>
        <w:t xml:space="preserve"> no Documento de Autorização para Emissão de Nota Fiscal (Apêndice III)</w:t>
      </w:r>
      <w:r w:rsidR="000074C6">
        <w:rPr>
          <w:rFonts w:ascii="Times New Roman" w:hAnsi="Times New Roman" w:cs="Times New Roman"/>
          <w:sz w:val="24"/>
        </w:rPr>
        <w:t>, o valor do mês a ser provisionado e o valor retroativo.</w:t>
      </w:r>
    </w:p>
    <w:p w14:paraId="5CC9D464" w14:textId="1659870E" w:rsidR="009F68DE" w:rsidRPr="004C4A09" w:rsidRDefault="009F68DE" w:rsidP="007E398C">
      <w:pPr>
        <w:pStyle w:val="PargrafodaLista"/>
        <w:numPr>
          <w:ilvl w:val="0"/>
          <w:numId w:val="13"/>
        </w:numPr>
        <w:jc w:val="both"/>
        <w:rPr>
          <w:rFonts w:ascii="Times New Roman" w:hAnsi="Times New Roman" w:cs="Times New Roman"/>
          <w:b/>
          <w:sz w:val="24"/>
        </w:rPr>
      </w:pPr>
      <w:r w:rsidRPr="004C4A09">
        <w:rPr>
          <w:rFonts w:ascii="Times New Roman" w:hAnsi="Times New Roman" w:cs="Times New Roman"/>
          <w:b/>
          <w:sz w:val="24"/>
        </w:rPr>
        <w:t>Procedimento de liberação de Valores Provisionados</w:t>
      </w:r>
      <w:r w:rsidR="004C4A09">
        <w:rPr>
          <w:rFonts w:ascii="Times New Roman" w:hAnsi="Times New Roman" w:cs="Times New Roman"/>
          <w:b/>
          <w:sz w:val="24"/>
        </w:rPr>
        <w:t>:</w:t>
      </w:r>
    </w:p>
    <w:p w14:paraId="46461737" w14:textId="322057C0" w:rsidR="004C4A09" w:rsidRDefault="00A125DD" w:rsidP="008412D9">
      <w:pPr>
        <w:spacing w:after="0"/>
        <w:ind w:firstLine="708"/>
        <w:jc w:val="both"/>
        <w:rPr>
          <w:rFonts w:ascii="Times New Roman" w:hAnsi="Times New Roman" w:cs="Times New Roman"/>
          <w:sz w:val="24"/>
        </w:rPr>
      </w:pPr>
      <w:r w:rsidRPr="004C4A09">
        <w:rPr>
          <w:rFonts w:ascii="Times New Roman" w:hAnsi="Times New Roman" w:cs="Times New Roman"/>
          <w:sz w:val="24"/>
        </w:rPr>
        <w:t>A empresa contratada poderá solicitar a autorização do órgão ou entidade contratante para utilizar os valores</w:t>
      </w:r>
      <w:r>
        <w:rPr>
          <w:rFonts w:ascii="Times New Roman" w:hAnsi="Times New Roman" w:cs="Times New Roman"/>
          <w:sz w:val="24"/>
        </w:rPr>
        <w:t xml:space="preserve"> retidos em </w:t>
      </w:r>
      <w:r w:rsidRPr="004C4A09">
        <w:rPr>
          <w:rFonts w:ascii="Times New Roman" w:hAnsi="Times New Roman" w:cs="Times New Roman"/>
          <w:sz w:val="24"/>
        </w:rPr>
        <w:t>Conta-Depósito Vinculada</w:t>
      </w:r>
      <w:r w:rsidR="00084C3D">
        <w:rPr>
          <w:rFonts w:ascii="Times New Roman" w:hAnsi="Times New Roman" w:cs="Times New Roman"/>
          <w:sz w:val="24"/>
        </w:rPr>
        <w:t xml:space="preserve"> – bloqueada pra movimentação</w:t>
      </w:r>
      <w:r>
        <w:rPr>
          <w:rFonts w:ascii="Times New Roman" w:hAnsi="Times New Roman" w:cs="Times New Roman"/>
          <w:sz w:val="24"/>
        </w:rPr>
        <w:t xml:space="preserve"> </w:t>
      </w:r>
      <w:r w:rsidR="004C4A09" w:rsidRPr="004C4A09">
        <w:rPr>
          <w:rFonts w:ascii="Times New Roman" w:hAnsi="Times New Roman" w:cs="Times New Roman"/>
          <w:sz w:val="24"/>
        </w:rPr>
        <w:t xml:space="preserve">para o pagamento dos encargos trabalhistas ou de eventuais indenizações trabalhistas aos empregados, decorrentes de situações ocorridas durante a vigência do contrato, </w:t>
      </w:r>
      <w:r w:rsidR="008412D9">
        <w:rPr>
          <w:rFonts w:ascii="Times New Roman" w:hAnsi="Times New Roman" w:cs="Times New Roman"/>
          <w:sz w:val="24"/>
        </w:rPr>
        <w:t xml:space="preserve">para tanto </w:t>
      </w:r>
      <w:r w:rsidR="004C4A09" w:rsidRPr="004C4A09">
        <w:rPr>
          <w:rFonts w:ascii="Times New Roman" w:hAnsi="Times New Roman" w:cs="Times New Roman"/>
          <w:sz w:val="24"/>
        </w:rPr>
        <w:t xml:space="preserve">a empresa deverá apresentar ao órgão </w:t>
      </w:r>
      <w:proofErr w:type="spellStart"/>
      <w:r w:rsidR="008412D9">
        <w:rPr>
          <w:rFonts w:ascii="Times New Roman" w:hAnsi="Times New Roman" w:cs="Times New Roman"/>
          <w:sz w:val="24"/>
        </w:rPr>
        <w:t>IFSul</w:t>
      </w:r>
      <w:proofErr w:type="spellEnd"/>
      <w:r w:rsidR="004C4A09" w:rsidRPr="004C4A09">
        <w:rPr>
          <w:rFonts w:ascii="Times New Roman" w:hAnsi="Times New Roman" w:cs="Times New Roman"/>
          <w:sz w:val="24"/>
        </w:rPr>
        <w:t xml:space="preserve"> os documentos comprobatórios da ocorrência das obrigações trabalhistas e seus respectivos prazos de vencimento.</w:t>
      </w:r>
    </w:p>
    <w:p w14:paraId="693E6AB6" w14:textId="7CC76919" w:rsidR="004C4A09" w:rsidRDefault="004C4A09" w:rsidP="008412D9">
      <w:pPr>
        <w:spacing w:after="0"/>
        <w:ind w:firstLine="708"/>
        <w:jc w:val="both"/>
        <w:rPr>
          <w:rFonts w:ascii="Times New Roman" w:hAnsi="Times New Roman" w:cs="Times New Roman"/>
          <w:sz w:val="24"/>
        </w:rPr>
      </w:pPr>
      <w:r w:rsidRPr="004C4A09">
        <w:rPr>
          <w:rFonts w:ascii="Times New Roman" w:hAnsi="Times New Roman" w:cs="Times New Roman"/>
          <w:sz w:val="24"/>
        </w:rPr>
        <w:t xml:space="preserve">Após a confirmação da ocorrência da situação que ensejou o pagamento dos encargos trabalhistas ou de eventual indenização trabalhista e a conferência dos cálculos, </w:t>
      </w:r>
      <w:r w:rsidR="008412D9">
        <w:rPr>
          <w:rFonts w:ascii="Times New Roman" w:hAnsi="Times New Roman" w:cs="Times New Roman"/>
          <w:sz w:val="24"/>
        </w:rPr>
        <w:t xml:space="preserve">a fiscalização, em conjunto com a gestão do contrato, </w:t>
      </w:r>
      <w:r w:rsidRPr="004C4A09">
        <w:rPr>
          <w:rFonts w:ascii="Times New Roman" w:hAnsi="Times New Roman" w:cs="Times New Roman"/>
          <w:sz w:val="24"/>
        </w:rPr>
        <w:t xml:space="preserve">expedirá a autorização para a movimentação dos recursos creditados em Conta-Depósito Vinculada ― bloqueada para movimentação e a </w:t>
      </w:r>
      <w:r w:rsidRPr="004C4A09">
        <w:rPr>
          <w:rFonts w:ascii="Times New Roman" w:hAnsi="Times New Roman" w:cs="Times New Roman"/>
          <w:sz w:val="24"/>
        </w:rPr>
        <w:lastRenderedPageBreak/>
        <w:t xml:space="preserve">encaminhará à Instituição Financeira no prazo máximo de </w:t>
      </w:r>
      <w:r w:rsidRPr="0023130D">
        <w:rPr>
          <w:rFonts w:ascii="Times New Roman" w:hAnsi="Times New Roman" w:cs="Times New Roman"/>
          <w:b/>
          <w:sz w:val="24"/>
        </w:rPr>
        <w:t>5 (cinco) dias úteis</w:t>
      </w:r>
      <w:r w:rsidRPr="004C4A09">
        <w:rPr>
          <w:rFonts w:ascii="Times New Roman" w:hAnsi="Times New Roman" w:cs="Times New Roman"/>
          <w:sz w:val="24"/>
        </w:rPr>
        <w:t>, a contar da data da apresentação dos documentos comprobatórios pela empresa.</w:t>
      </w:r>
    </w:p>
    <w:p w14:paraId="50358AEB" w14:textId="176003DC" w:rsidR="004C4A09" w:rsidRDefault="004C4A09" w:rsidP="008412D9">
      <w:pPr>
        <w:spacing w:after="0"/>
        <w:ind w:firstLine="708"/>
        <w:jc w:val="both"/>
        <w:rPr>
          <w:rFonts w:ascii="Times New Roman" w:hAnsi="Times New Roman" w:cs="Times New Roman"/>
          <w:sz w:val="24"/>
        </w:rPr>
      </w:pPr>
      <w:r w:rsidRPr="004C4A09">
        <w:rPr>
          <w:rFonts w:ascii="Times New Roman" w:hAnsi="Times New Roman" w:cs="Times New Roman"/>
          <w:sz w:val="24"/>
        </w:rPr>
        <w:t xml:space="preserve">A autorização </w:t>
      </w:r>
      <w:r w:rsidR="008412D9">
        <w:rPr>
          <w:rFonts w:ascii="Times New Roman" w:hAnsi="Times New Roman" w:cs="Times New Roman"/>
          <w:sz w:val="24"/>
        </w:rPr>
        <w:t>supracitada</w:t>
      </w:r>
      <w:r w:rsidRPr="004C4A09">
        <w:rPr>
          <w:rFonts w:ascii="Times New Roman" w:hAnsi="Times New Roman" w:cs="Times New Roman"/>
          <w:sz w:val="24"/>
        </w:rPr>
        <w:t xml:space="preserve"> deverá especificar que a movimentação será exclusiva para o pagamento dos encargos trabalhistas ou de eventual indenização trabalhista aos trabalhadores favorecidos.</w:t>
      </w:r>
    </w:p>
    <w:p w14:paraId="3CA3A63B" w14:textId="05278027" w:rsidR="0023130D" w:rsidRDefault="0023130D" w:rsidP="000074C6">
      <w:pPr>
        <w:spacing w:after="0"/>
        <w:ind w:firstLine="708"/>
        <w:jc w:val="both"/>
        <w:rPr>
          <w:rFonts w:ascii="Times New Roman" w:hAnsi="Times New Roman" w:cs="Times New Roman"/>
          <w:sz w:val="24"/>
        </w:rPr>
      </w:pPr>
      <w:r w:rsidRPr="0023130D">
        <w:rPr>
          <w:rFonts w:ascii="Times New Roman" w:hAnsi="Times New Roman" w:cs="Times New Roman"/>
          <w:sz w:val="24"/>
        </w:rPr>
        <w:t xml:space="preserve">A empresa deverá apresentar ao </w:t>
      </w:r>
      <w:proofErr w:type="spellStart"/>
      <w:r w:rsidR="008412D9">
        <w:rPr>
          <w:rFonts w:ascii="Times New Roman" w:hAnsi="Times New Roman" w:cs="Times New Roman"/>
          <w:sz w:val="24"/>
        </w:rPr>
        <w:t>IFSul</w:t>
      </w:r>
      <w:proofErr w:type="spellEnd"/>
      <w:r w:rsidRPr="0023130D">
        <w:rPr>
          <w:rFonts w:ascii="Times New Roman" w:hAnsi="Times New Roman" w:cs="Times New Roman"/>
          <w:sz w:val="24"/>
        </w:rPr>
        <w:t xml:space="preserve">, no prazo máximo de </w:t>
      </w:r>
      <w:r w:rsidRPr="0023130D">
        <w:rPr>
          <w:rFonts w:ascii="Times New Roman" w:hAnsi="Times New Roman" w:cs="Times New Roman"/>
          <w:b/>
          <w:sz w:val="24"/>
        </w:rPr>
        <w:t>3 (três) dias úteis</w:t>
      </w:r>
      <w:r w:rsidRPr="0023130D">
        <w:rPr>
          <w:rFonts w:ascii="Times New Roman" w:hAnsi="Times New Roman" w:cs="Times New Roman"/>
          <w:sz w:val="24"/>
        </w:rPr>
        <w:t>, contados da movimentação, o comprovante das transferências bancárias realizadas para a quitação das obrigações trabalhistas.</w:t>
      </w:r>
    </w:p>
    <w:p w14:paraId="75D3CD3D" w14:textId="5F608EF7" w:rsidR="00901823" w:rsidRDefault="00901823" w:rsidP="00901823">
      <w:pPr>
        <w:ind w:firstLine="708"/>
        <w:jc w:val="both"/>
        <w:rPr>
          <w:rFonts w:ascii="Times New Roman" w:hAnsi="Times New Roman" w:cs="Times New Roman"/>
          <w:sz w:val="24"/>
        </w:rPr>
      </w:pPr>
      <w:r w:rsidRPr="00901823">
        <w:rPr>
          <w:rFonts w:ascii="Times New Roman" w:hAnsi="Times New Roman" w:cs="Times New Roman"/>
          <w:sz w:val="24"/>
        </w:rPr>
        <w:t>O fluxo abaixo</w:t>
      </w:r>
      <w:r w:rsidR="008412D9">
        <w:rPr>
          <w:rFonts w:ascii="Times New Roman" w:hAnsi="Times New Roman" w:cs="Times New Roman"/>
          <w:sz w:val="24"/>
        </w:rPr>
        <w:t>, retirado do Caderno de Logística da Conta Vinculada –Versão 2.0 2018,</w:t>
      </w:r>
      <w:r w:rsidRPr="00901823">
        <w:rPr>
          <w:rFonts w:ascii="Times New Roman" w:hAnsi="Times New Roman" w:cs="Times New Roman"/>
          <w:sz w:val="24"/>
        </w:rPr>
        <w:t xml:space="preserve"> detalha os procedimentos para movimentação da Conta-Depósito Vinculada — bloqueada</w:t>
      </w:r>
      <w:r>
        <w:rPr>
          <w:rFonts w:ascii="Times New Roman" w:hAnsi="Times New Roman" w:cs="Times New Roman"/>
          <w:sz w:val="24"/>
        </w:rPr>
        <w:t xml:space="preserve"> </w:t>
      </w:r>
      <w:r w:rsidRPr="00901823">
        <w:rPr>
          <w:rFonts w:ascii="Times New Roman" w:hAnsi="Times New Roman" w:cs="Times New Roman"/>
          <w:sz w:val="24"/>
        </w:rPr>
        <w:t>para movimentação</w:t>
      </w:r>
    </w:p>
    <w:p w14:paraId="0128197E" w14:textId="77777777" w:rsidR="00901823" w:rsidRDefault="00901823" w:rsidP="00901823">
      <w:pPr>
        <w:keepNext/>
        <w:jc w:val="both"/>
      </w:pPr>
      <w:r>
        <w:rPr>
          <w:noProof/>
          <w:lang w:eastAsia="pt-BR"/>
        </w:rPr>
        <w:drawing>
          <wp:inline distT="0" distB="0" distL="0" distR="0" wp14:anchorId="2D12911C" wp14:editId="3C55BC88">
            <wp:extent cx="5724525" cy="5278401"/>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4766" t="17059" r="28068" b="5588"/>
                    <a:stretch/>
                  </pic:blipFill>
                  <pic:spPr bwMode="auto">
                    <a:xfrm>
                      <a:off x="0" y="0"/>
                      <a:ext cx="5747668" cy="5299740"/>
                    </a:xfrm>
                    <a:prstGeom prst="rect">
                      <a:avLst/>
                    </a:prstGeom>
                    <a:ln>
                      <a:noFill/>
                    </a:ln>
                    <a:extLst>
                      <a:ext uri="{53640926-AAD7-44D8-BBD7-CCE9431645EC}">
                        <a14:shadowObscured xmlns:a14="http://schemas.microsoft.com/office/drawing/2010/main"/>
                      </a:ext>
                    </a:extLst>
                  </pic:spPr>
                </pic:pic>
              </a:graphicData>
            </a:graphic>
          </wp:inline>
        </w:drawing>
      </w:r>
    </w:p>
    <w:p w14:paraId="51F1444C" w14:textId="1E782D14" w:rsidR="00901823" w:rsidRPr="008412D9" w:rsidRDefault="00901823" w:rsidP="00901823">
      <w:pPr>
        <w:pStyle w:val="Legenda"/>
        <w:jc w:val="center"/>
        <w:rPr>
          <w:rFonts w:ascii="Times New Roman" w:hAnsi="Times New Roman" w:cs="Times New Roman"/>
          <w:color w:val="auto"/>
          <w:sz w:val="24"/>
        </w:rPr>
      </w:pPr>
      <w:r w:rsidRPr="008412D9">
        <w:rPr>
          <w:rFonts w:ascii="Times New Roman" w:hAnsi="Times New Roman" w:cs="Times New Roman"/>
          <w:color w:val="auto"/>
        </w:rPr>
        <w:t xml:space="preserve">Figura </w:t>
      </w:r>
      <w:r w:rsidRPr="008412D9">
        <w:rPr>
          <w:rFonts w:ascii="Times New Roman" w:hAnsi="Times New Roman" w:cs="Times New Roman"/>
          <w:color w:val="auto"/>
        </w:rPr>
        <w:fldChar w:fldCharType="begin"/>
      </w:r>
      <w:r w:rsidRPr="008412D9">
        <w:rPr>
          <w:rFonts w:ascii="Times New Roman" w:hAnsi="Times New Roman" w:cs="Times New Roman"/>
          <w:color w:val="auto"/>
        </w:rPr>
        <w:instrText xml:space="preserve"> SEQ Figura \* ARABIC </w:instrText>
      </w:r>
      <w:r w:rsidRPr="008412D9">
        <w:rPr>
          <w:rFonts w:ascii="Times New Roman" w:hAnsi="Times New Roman" w:cs="Times New Roman"/>
          <w:color w:val="auto"/>
        </w:rPr>
        <w:fldChar w:fldCharType="separate"/>
      </w:r>
      <w:r w:rsidR="004D7A91">
        <w:rPr>
          <w:rFonts w:ascii="Times New Roman" w:hAnsi="Times New Roman" w:cs="Times New Roman"/>
          <w:noProof/>
          <w:color w:val="auto"/>
        </w:rPr>
        <w:t>15</w:t>
      </w:r>
      <w:r w:rsidRPr="008412D9">
        <w:rPr>
          <w:rFonts w:ascii="Times New Roman" w:hAnsi="Times New Roman" w:cs="Times New Roman"/>
          <w:color w:val="auto"/>
        </w:rPr>
        <w:fldChar w:fldCharType="end"/>
      </w:r>
      <w:r w:rsidRPr="008412D9">
        <w:rPr>
          <w:rFonts w:ascii="Times New Roman" w:hAnsi="Times New Roman" w:cs="Times New Roman"/>
          <w:color w:val="auto"/>
        </w:rPr>
        <w:t xml:space="preserve"> - Fluxo movimentação da Conta-Depósito Vinculada (fonte: Caderno Logística 2018)</w:t>
      </w:r>
    </w:p>
    <w:p w14:paraId="613150A2" w14:textId="58DB99BB" w:rsidR="004C4A09" w:rsidRDefault="0023130D" w:rsidP="000074C6">
      <w:pPr>
        <w:spacing w:after="0"/>
        <w:ind w:firstLine="708"/>
        <w:jc w:val="both"/>
        <w:rPr>
          <w:rFonts w:ascii="Times New Roman" w:hAnsi="Times New Roman" w:cs="Times New Roman"/>
          <w:sz w:val="24"/>
        </w:rPr>
      </w:pPr>
      <w:r w:rsidRPr="0023130D">
        <w:rPr>
          <w:rFonts w:ascii="Times New Roman" w:hAnsi="Times New Roman" w:cs="Times New Roman"/>
          <w:sz w:val="24"/>
        </w:rPr>
        <w:lastRenderedPageBreak/>
        <w:t>O saldo remanescente dos recursos depositados na Conta-Depósito Vinculada ― bloqueada para movimentação será liberado à empresa no momento do encerramento do contrato, na presença do sindicato da categoria correspondente aos serviços contratados, após a comprovação da quitação de todos os encargos trabalhistas e previdenciários relativos ao serviço contratado.</w:t>
      </w:r>
    </w:p>
    <w:p w14:paraId="7BA5816F" w14:textId="3FC16971" w:rsidR="008412D9" w:rsidRDefault="008412D9" w:rsidP="0023130D">
      <w:pPr>
        <w:ind w:firstLine="708"/>
        <w:jc w:val="both"/>
        <w:rPr>
          <w:rFonts w:ascii="Times New Roman" w:hAnsi="Times New Roman" w:cs="Times New Roman"/>
          <w:sz w:val="24"/>
        </w:rPr>
      </w:pPr>
      <w:r>
        <w:rPr>
          <w:rFonts w:ascii="Times New Roman" w:hAnsi="Times New Roman" w:cs="Times New Roman"/>
          <w:sz w:val="24"/>
        </w:rPr>
        <w:t>O saldo também poderá ser usado para quitação das obrigações trabalhistas diretamente aos colaboradores, no caso de inadimplemento das mesmas por parte da empresa contratada.</w:t>
      </w:r>
    </w:p>
    <w:p w14:paraId="2739349F" w14:textId="1A5435AF" w:rsidR="000074C6" w:rsidRDefault="000074C6" w:rsidP="000074C6">
      <w:pPr>
        <w:pStyle w:val="PargrafodaLista"/>
        <w:numPr>
          <w:ilvl w:val="0"/>
          <w:numId w:val="13"/>
        </w:numPr>
        <w:jc w:val="both"/>
        <w:rPr>
          <w:rFonts w:ascii="Times New Roman" w:hAnsi="Times New Roman" w:cs="Times New Roman"/>
          <w:b/>
          <w:sz w:val="24"/>
        </w:rPr>
      </w:pPr>
      <w:r>
        <w:rPr>
          <w:rFonts w:ascii="Times New Roman" w:hAnsi="Times New Roman" w:cs="Times New Roman"/>
          <w:b/>
          <w:sz w:val="24"/>
        </w:rPr>
        <w:t>Considerações Finais:</w:t>
      </w:r>
    </w:p>
    <w:p w14:paraId="489DB90D" w14:textId="3DC35342" w:rsidR="000074C6" w:rsidRDefault="000074C6" w:rsidP="00C47D8E">
      <w:pPr>
        <w:spacing w:after="0"/>
        <w:ind w:firstLine="708"/>
        <w:jc w:val="both"/>
        <w:rPr>
          <w:rFonts w:ascii="Times New Roman" w:hAnsi="Times New Roman" w:cs="Times New Roman"/>
          <w:sz w:val="24"/>
        </w:rPr>
      </w:pPr>
      <w:r>
        <w:rPr>
          <w:rFonts w:ascii="Times New Roman" w:hAnsi="Times New Roman" w:cs="Times New Roman"/>
          <w:sz w:val="24"/>
        </w:rPr>
        <w:t>As instruções descritas neste documento de orientação têm o objetivo de nortear os responsáveis pela gestão de Contas Vinculadas do Instituto, neste contexto as diretrizes aqui estabelecidas deverão ser seguidas nas contratações de serviços terceirizados com dedicação exclusiva de mão de obra.</w:t>
      </w:r>
    </w:p>
    <w:p w14:paraId="095DF288" w14:textId="73E8BC72" w:rsidR="000074C6" w:rsidRPr="000074C6" w:rsidRDefault="000074C6" w:rsidP="000074C6">
      <w:pPr>
        <w:ind w:firstLine="708"/>
        <w:jc w:val="both"/>
        <w:rPr>
          <w:rFonts w:ascii="Times New Roman" w:hAnsi="Times New Roman" w:cs="Times New Roman"/>
          <w:sz w:val="24"/>
        </w:rPr>
      </w:pPr>
      <w:r>
        <w:rPr>
          <w:rFonts w:ascii="Times New Roman" w:hAnsi="Times New Roman" w:cs="Times New Roman"/>
          <w:sz w:val="24"/>
        </w:rPr>
        <w:t xml:space="preserve">Espera-se que </w:t>
      </w:r>
      <w:r w:rsidR="00C47D8E">
        <w:rPr>
          <w:rFonts w:ascii="Times New Roman" w:hAnsi="Times New Roman" w:cs="Times New Roman"/>
          <w:sz w:val="24"/>
        </w:rPr>
        <w:t>a ferramenta de Gestão da Conta-Depósito Vinculada apresentada, alcance</w:t>
      </w:r>
      <w:r>
        <w:rPr>
          <w:rFonts w:ascii="Times New Roman" w:hAnsi="Times New Roman" w:cs="Times New Roman"/>
          <w:sz w:val="24"/>
        </w:rPr>
        <w:t xml:space="preserve"> </w:t>
      </w:r>
      <w:r w:rsidR="00C47D8E">
        <w:rPr>
          <w:rFonts w:ascii="Times New Roman" w:hAnsi="Times New Roman" w:cs="Times New Roman"/>
          <w:sz w:val="24"/>
        </w:rPr>
        <w:t>o objetivo</w:t>
      </w:r>
      <w:r>
        <w:rPr>
          <w:rFonts w:ascii="Times New Roman" w:hAnsi="Times New Roman" w:cs="Times New Roman"/>
          <w:sz w:val="24"/>
        </w:rPr>
        <w:t xml:space="preserve"> de ser uma ferramenta de apoio aos gestores e</w:t>
      </w:r>
      <w:r w:rsidR="00C47D8E">
        <w:rPr>
          <w:rFonts w:ascii="Times New Roman" w:hAnsi="Times New Roman" w:cs="Times New Roman"/>
          <w:sz w:val="24"/>
        </w:rPr>
        <w:t xml:space="preserve"> fiscais de contratos do </w:t>
      </w:r>
      <w:proofErr w:type="spellStart"/>
      <w:r w:rsidR="00C47D8E">
        <w:rPr>
          <w:rFonts w:ascii="Times New Roman" w:hAnsi="Times New Roman" w:cs="Times New Roman"/>
          <w:sz w:val="24"/>
        </w:rPr>
        <w:t>IFSul</w:t>
      </w:r>
      <w:proofErr w:type="spellEnd"/>
      <w:r w:rsidR="00C47D8E">
        <w:rPr>
          <w:rFonts w:ascii="Times New Roman" w:hAnsi="Times New Roman" w:cs="Times New Roman"/>
          <w:sz w:val="24"/>
        </w:rPr>
        <w:t>, tornando mais fáceis a interpretação e aplicação dos procedimentos.</w:t>
      </w:r>
    </w:p>
    <w:p w14:paraId="11EE73B4" w14:textId="77777777" w:rsidR="000074C6" w:rsidRDefault="000074C6" w:rsidP="00D8657A">
      <w:pPr>
        <w:pStyle w:val="Ttulo4"/>
        <w:numPr>
          <w:ilvl w:val="0"/>
          <w:numId w:val="0"/>
        </w:numPr>
        <w:ind w:left="142" w:right="-1"/>
        <w:jc w:val="both"/>
        <w:rPr>
          <w:rFonts w:ascii="Times New Roman" w:hAnsi="Times New Roman" w:cs="Times New Roman"/>
          <w:sz w:val="22"/>
          <w:szCs w:val="22"/>
        </w:rPr>
      </w:pPr>
    </w:p>
    <w:p w14:paraId="2B77C5BF" w14:textId="4908E0B8" w:rsidR="000074C6" w:rsidRPr="00C775B9" w:rsidRDefault="000074C6" w:rsidP="00084C3D">
      <w:pPr>
        <w:jc w:val="center"/>
      </w:pPr>
      <w:r w:rsidRPr="00C775B9">
        <w:t>____________________________________________</w:t>
      </w:r>
    </w:p>
    <w:p w14:paraId="2CEA01C3" w14:textId="77777777" w:rsidR="000074C6" w:rsidRPr="006B5E33" w:rsidRDefault="000074C6" w:rsidP="00084C3D">
      <w:pPr>
        <w:spacing w:after="0" w:line="288" w:lineRule="auto"/>
        <w:jc w:val="center"/>
        <w:rPr>
          <w:rFonts w:ascii="Times New Roman" w:hAnsi="Times New Roman" w:cs="Times New Roman"/>
          <w:b/>
          <w:i/>
          <w:sz w:val="24"/>
        </w:rPr>
      </w:pPr>
      <w:r w:rsidRPr="006B5E33">
        <w:rPr>
          <w:rFonts w:ascii="Times New Roman" w:hAnsi="Times New Roman" w:cs="Times New Roman"/>
          <w:b/>
          <w:i/>
          <w:sz w:val="24"/>
        </w:rPr>
        <w:t>Coordenadoria de Gestão de Contratos</w:t>
      </w:r>
    </w:p>
    <w:p w14:paraId="2852535C" w14:textId="77777777" w:rsidR="000074C6" w:rsidRPr="006B5E33" w:rsidRDefault="000074C6" w:rsidP="00084C3D">
      <w:pPr>
        <w:spacing w:after="0" w:line="288" w:lineRule="auto"/>
        <w:jc w:val="center"/>
        <w:rPr>
          <w:rFonts w:ascii="Times New Roman" w:hAnsi="Times New Roman" w:cs="Times New Roman"/>
          <w:i/>
          <w:sz w:val="24"/>
        </w:rPr>
      </w:pPr>
      <w:r w:rsidRPr="006B5E33">
        <w:rPr>
          <w:rFonts w:ascii="Times New Roman" w:hAnsi="Times New Roman" w:cs="Times New Roman"/>
          <w:b/>
          <w:i/>
          <w:sz w:val="24"/>
        </w:rPr>
        <w:t>Instituto Federal de Educação, Ciência e Tecnologia Sul-rio-grandense</w:t>
      </w:r>
    </w:p>
    <w:p w14:paraId="7AFC3D6C" w14:textId="063B494D" w:rsidR="006A2189" w:rsidRDefault="006A2189" w:rsidP="000074C6">
      <w:pPr>
        <w:pStyle w:val="Ttulo4"/>
        <w:numPr>
          <w:ilvl w:val="0"/>
          <w:numId w:val="0"/>
        </w:numPr>
        <w:ind w:left="142" w:right="-1"/>
        <w:jc w:val="both"/>
      </w:pPr>
    </w:p>
    <w:p w14:paraId="79E92A51" w14:textId="20F829DE" w:rsidR="00B07A6C" w:rsidRDefault="00B07A6C"/>
    <w:sectPr w:rsidR="00B07A6C" w:rsidSect="00C47D8E">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701" w:right="1134"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7C4C8" w14:textId="77777777" w:rsidR="0093010D" w:rsidRDefault="0093010D" w:rsidP="00570E56">
      <w:pPr>
        <w:spacing w:after="0" w:line="240" w:lineRule="auto"/>
      </w:pPr>
      <w:r>
        <w:separator/>
      </w:r>
    </w:p>
  </w:endnote>
  <w:endnote w:type="continuationSeparator" w:id="0">
    <w:p w14:paraId="1C159D14" w14:textId="77777777" w:rsidR="0093010D" w:rsidRDefault="0093010D" w:rsidP="0057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842F" w14:textId="77777777" w:rsidR="00EA3D4A" w:rsidRDefault="00EA3D4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3F30" w14:textId="77777777" w:rsidR="00C47D8E" w:rsidRDefault="00C47D8E" w:rsidP="00C47D8E">
    <w:pPr>
      <w:pStyle w:val="Rodap"/>
      <w:pBdr>
        <w:bottom w:val="single" w:sz="8" w:space="2" w:color="000000"/>
      </w:pBdr>
      <w:rPr>
        <w:sz w:val="16"/>
        <w:szCs w:val="16"/>
      </w:rPr>
    </w:pPr>
  </w:p>
  <w:p w14:paraId="5436F7B7" w14:textId="77777777" w:rsidR="00C47D8E" w:rsidRDefault="00C47D8E" w:rsidP="00C47D8E">
    <w:pPr>
      <w:pStyle w:val="Rodap"/>
      <w:jc w:val="right"/>
      <w:rPr>
        <w:sz w:val="16"/>
        <w:szCs w:val="16"/>
      </w:rPr>
    </w:pPr>
    <w:r>
      <w:rPr>
        <w:sz w:val="16"/>
        <w:szCs w:val="16"/>
      </w:rPr>
      <w:t>Elaborado pela equipe COGES</w:t>
    </w:r>
  </w:p>
  <w:p w14:paraId="66C21D42" w14:textId="0270AE7F" w:rsidR="002F584F" w:rsidRPr="00C47D8E" w:rsidRDefault="00EA3D4A" w:rsidP="00C47D8E">
    <w:pPr>
      <w:pStyle w:val="Rodap"/>
      <w:jc w:val="right"/>
      <w:rPr>
        <w:sz w:val="16"/>
        <w:szCs w:val="16"/>
      </w:rPr>
    </w:pPr>
    <w:r>
      <w:rPr>
        <w:sz w:val="16"/>
        <w:szCs w:val="16"/>
      </w:rPr>
      <w:t>Atualizado dezem</w:t>
    </w:r>
    <w:r w:rsidR="00C47D8E">
      <w:rPr>
        <w:sz w:val="16"/>
        <w:szCs w:val="16"/>
      </w:rPr>
      <w:t>bro de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772C" w14:textId="77777777" w:rsidR="00EA3D4A" w:rsidRDefault="00EA3D4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81AD2" w14:textId="77777777" w:rsidR="0093010D" w:rsidRDefault="0093010D" w:rsidP="00570E56">
      <w:pPr>
        <w:spacing w:after="0" w:line="240" w:lineRule="auto"/>
      </w:pPr>
      <w:r>
        <w:separator/>
      </w:r>
    </w:p>
  </w:footnote>
  <w:footnote w:type="continuationSeparator" w:id="0">
    <w:p w14:paraId="3C5CD094" w14:textId="77777777" w:rsidR="0093010D" w:rsidRDefault="0093010D" w:rsidP="00570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431A" w14:textId="77777777" w:rsidR="00EA3D4A" w:rsidRDefault="00EA3D4A">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9953" w14:textId="012BD20F" w:rsidR="00570E56" w:rsidRDefault="00C47D8E">
    <w:pPr>
      <w:pStyle w:val="Cabealho"/>
    </w:pPr>
    <w:r w:rsidRPr="00E13B2F">
      <w:rPr>
        <w:noProof/>
        <w:lang w:eastAsia="pt-BR"/>
      </w:rPr>
      <w:drawing>
        <wp:inline distT="0" distB="0" distL="0" distR="0" wp14:anchorId="193C06D7" wp14:editId="2EDF31C9">
          <wp:extent cx="5759450" cy="13239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323975"/>
                  </a:xfrm>
                  <a:prstGeom prst="rect">
                    <a:avLst/>
                  </a:prstGeom>
                  <a:solidFill>
                    <a:srgbClr val="FFFFFF"/>
                  </a:solidFill>
                  <a:ln>
                    <a:noFill/>
                  </a:ln>
                </pic:spPr>
              </pic:pic>
            </a:graphicData>
          </a:graphic>
        </wp:inline>
      </w:drawing>
    </w:r>
  </w:p>
  <w:p w14:paraId="09264612" w14:textId="77777777" w:rsidR="00C47D8E" w:rsidRDefault="00C47D8E">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111C" w14:textId="77777777" w:rsidR="00EA3D4A" w:rsidRDefault="00EA3D4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B7E39"/>
    <w:multiLevelType w:val="multilevel"/>
    <w:tmpl w:val="30A0B0FE"/>
    <w:lvl w:ilvl="0">
      <w:start w:val="1"/>
      <w:numFmt w:val="decimal"/>
      <w:lvlText w:val="%1"/>
      <w:lvlJc w:val="left"/>
      <w:pPr>
        <w:ind w:left="360" w:hanging="360"/>
      </w:pPr>
      <w:rPr>
        <w:rFonts w:hint="default"/>
      </w:rPr>
    </w:lvl>
    <w:lvl w:ilvl="1">
      <w:start w:val="1"/>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2" w15:restartNumberingAfterBreak="0">
    <w:nsid w:val="159B1A1F"/>
    <w:multiLevelType w:val="hybridMultilevel"/>
    <w:tmpl w:val="866C85AC"/>
    <w:lvl w:ilvl="0" w:tplc="5B4AB4AC">
      <w:start w:val="1"/>
      <w:numFmt w:val="decimal"/>
      <w:lvlText w:val="%1."/>
      <w:lvlJc w:val="left"/>
      <w:pPr>
        <w:ind w:left="360" w:hanging="360"/>
      </w:pPr>
      <w:rPr>
        <w:rFonts w:hint="default"/>
      </w:rPr>
    </w:lvl>
    <w:lvl w:ilvl="1" w:tplc="04160019">
      <w:start w:val="1"/>
      <w:numFmt w:val="lowerLetter"/>
      <w:lvlText w:val="%2."/>
      <w:lvlJc w:val="left"/>
      <w:pPr>
        <w:ind w:left="732" w:hanging="360"/>
      </w:pPr>
    </w:lvl>
    <w:lvl w:ilvl="2" w:tplc="0416001B" w:tentative="1">
      <w:start w:val="1"/>
      <w:numFmt w:val="lowerRoman"/>
      <w:lvlText w:val="%3."/>
      <w:lvlJc w:val="right"/>
      <w:pPr>
        <w:ind w:left="1452" w:hanging="180"/>
      </w:pPr>
    </w:lvl>
    <w:lvl w:ilvl="3" w:tplc="0416000F" w:tentative="1">
      <w:start w:val="1"/>
      <w:numFmt w:val="decimal"/>
      <w:lvlText w:val="%4."/>
      <w:lvlJc w:val="left"/>
      <w:pPr>
        <w:ind w:left="2172" w:hanging="360"/>
      </w:pPr>
    </w:lvl>
    <w:lvl w:ilvl="4" w:tplc="04160019" w:tentative="1">
      <w:start w:val="1"/>
      <w:numFmt w:val="lowerLetter"/>
      <w:lvlText w:val="%5."/>
      <w:lvlJc w:val="left"/>
      <w:pPr>
        <w:ind w:left="2892" w:hanging="360"/>
      </w:pPr>
    </w:lvl>
    <w:lvl w:ilvl="5" w:tplc="0416001B" w:tentative="1">
      <w:start w:val="1"/>
      <w:numFmt w:val="lowerRoman"/>
      <w:lvlText w:val="%6."/>
      <w:lvlJc w:val="right"/>
      <w:pPr>
        <w:ind w:left="3612" w:hanging="180"/>
      </w:pPr>
    </w:lvl>
    <w:lvl w:ilvl="6" w:tplc="0416000F" w:tentative="1">
      <w:start w:val="1"/>
      <w:numFmt w:val="decimal"/>
      <w:lvlText w:val="%7."/>
      <w:lvlJc w:val="left"/>
      <w:pPr>
        <w:ind w:left="4332" w:hanging="360"/>
      </w:pPr>
    </w:lvl>
    <w:lvl w:ilvl="7" w:tplc="04160019" w:tentative="1">
      <w:start w:val="1"/>
      <w:numFmt w:val="lowerLetter"/>
      <w:lvlText w:val="%8."/>
      <w:lvlJc w:val="left"/>
      <w:pPr>
        <w:ind w:left="5052" w:hanging="360"/>
      </w:pPr>
    </w:lvl>
    <w:lvl w:ilvl="8" w:tplc="0416001B" w:tentative="1">
      <w:start w:val="1"/>
      <w:numFmt w:val="lowerRoman"/>
      <w:lvlText w:val="%9."/>
      <w:lvlJc w:val="right"/>
      <w:pPr>
        <w:ind w:left="5772" w:hanging="180"/>
      </w:pPr>
    </w:lvl>
  </w:abstractNum>
  <w:abstractNum w:abstractNumId="3" w15:restartNumberingAfterBreak="0">
    <w:nsid w:val="1CC6104D"/>
    <w:multiLevelType w:val="hybridMultilevel"/>
    <w:tmpl w:val="399A17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B84791C"/>
    <w:multiLevelType w:val="hybridMultilevel"/>
    <w:tmpl w:val="01C2BB60"/>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3D773E0C"/>
    <w:multiLevelType w:val="hybridMultilevel"/>
    <w:tmpl w:val="4948E0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1C562C0"/>
    <w:multiLevelType w:val="hybridMultilevel"/>
    <w:tmpl w:val="3780A80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A490E15"/>
    <w:multiLevelType w:val="hybridMultilevel"/>
    <w:tmpl w:val="D2E648E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53EA0AA7"/>
    <w:multiLevelType w:val="hybridMultilevel"/>
    <w:tmpl w:val="9B78F75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542A0BC7"/>
    <w:multiLevelType w:val="hybridMultilevel"/>
    <w:tmpl w:val="68EA3EE2"/>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56402C31"/>
    <w:multiLevelType w:val="multilevel"/>
    <w:tmpl w:val="5AE6A8D2"/>
    <w:lvl w:ilvl="0">
      <w:start w:val="1"/>
      <w:numFmt w:val="decimal"/>
      <w:lvlText w:val="%1"/>
      <w:lvlJc w:val="left"/>
      <w:pPr>
        <w:ind w:left="360" w:hanging="360"/>
      </w:pPr>
      <w:rPr>
        <w:rFonts w:hint="default"/>
      </w:rPr>
    </w:lvl>
    <w:lvl w:ilvl="1">
      <w:start w:val="1"/>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pStyle w:val="Ttulo4"/>
      <w:lvlText w:val="%1.%2.%3.%4"/>
      <w:lvlJc w:val="left"/>
      <w:pPr>
        <w:ind w:left="1485" w:hanging="720"/>
      </w:pPr>
      <w:rPr>
        <w:rFonts w:hint="default"/>
      </w:rPr>
    </w:lvl>
    <w:lvl w:ilvl="4">
      <w:start w:val="1"/>
      <w:numFmt w:val="decimal"/>
      <w:pStyle w:val="Ttulo5"/>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11" w15:restartNumberingAfterBreak="0">
    <w:nsid w:val="5A4969B5"/>
    <w:multiLevelType w:val="hybridMultilevel"/>
    <w:tmpl w:val="D80E37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82A5A02"/>
    <w:multiLevelType w:val="hybridMultilevel"/>
    <w:tmpl w:val="B4E4079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6A701803"/>
    <w:multiLevelType w:val="hybridMultilevel"/>
    <w:tmpl w:val="D5141622"/>
    <w:lvl w:ilvl="0" w:tplc="0416000D">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700E2426"/>
    <w:multiLevelType w:val="hybridMultilevel"/>
    <w:tmpl w:val="E1F0636E"/>
    <w:lvl w:ilvl="0" w:tplc="5B4AB4A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782A4856"/>
    <w:multiLevelType w:val="hybridMultilevel"/>
    <w:tmpl w:val="9AE6DA4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7EA72AC2"/>
    <w:multiLevelType w:val="hybridMultilevel"/>
    <w:tmpl w:val="3312B7DE"/>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num w:numId="1">
    <w:abstractNumId w:val="10"/>
  </w:num>
  <w:num w:numId="2">
    <w:abstractNumId w:val="1"/>
  </w:num>
  <w:num w:numId="3">
    <w:abstractNumId w:val="11"/>
  </w:num>
  <w:num w:numId="4">
    <w:abstractNumId w:val="5"/>
  </w:num>
  <w:num w:numId="5">
    <w:abstractNumId w:val="0"/>
  </w:num>
  <w:num w:numId="6">
    <w:abstractNumId w:val="15"/>
  </w:num>
  <w:num w:numId="7">
    <w:abstractNumId w:val="3"/>
  </w:num>
  <w:num w:numId="8">
    <w:abstractNumId w:val="7"/>
  </w:num>
  <w:num w:numId="9">
    <w:abstractNumId w:val="12"/>
  </w:num>
  <w:num w:numId="10">
    <w:abstractNumId w:val="4"/>
  </w:num>
  <w:num w:numId="11">
    <w:abstractNumId w:val="13"/>
  </w:num>
  <w:num w:numId="12">
    <w:abstractNumId w:val="14"/>
  </w:num>
  <w:num w:numId="13">
    <w:abstractNumId w:val="2"/>
  </w:num>
  <w:num w:numId="14">
    <w:abstractNumId w:val="9"/>
  </w:num>
  <w:num w:numId="15">
    <w:abstractNumId w:val="16"/>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C"/>
    <w:rsid w:val="00003CB8"/>
    <w:rsid w:val="000074C6"/>
    <w:rsid w:val="00010EEF"/>
    <w:rsid w:val="00017294"/>
    <w:rsid w:val="00023136"/>
    <w:rsid w:val="00023496"/>
    <w:rsid w:val="000274FD"/>
    <w:rsid w:val="00027ADF"/>
    <w:rsid w:val="000322B9"/>
    <w:rsid w:val="000531DB"/>
    <w:rsid w:val="00084C3D"/>
    <w:rsid w:val="000907D1"/>
    <w:rsid w:val="000B791F"/>
    <w:rsid w:val="000D0157"/>
    <w:rsid w:val="000F44A9"/>
    <w:rsid w:val="000F7D8E"/>
    <w:rsid w:val="0010483D"/>
    <w:rsid w:val="00117C5F"/>
    <w:rsid w:val="00125CA1"/>
    <w:rsid w:val="00142F4A"/>
    <w:rsid w:val="00173B4D"/>
    <w:rsid w:val="001748DD"/>
    <w:rsid w:val="001843C7"/>
    <w:rsid w:val="001875E4"/>
    <w:rsid w:val="00190CEC"/>
    <w:rsid w:val="00193BF4"/>
    <w:rsid w:val="001A59CF"/>
    <w:rsid w:val="001A774D"/>
    <w:rsid w:val="001D1026"/>
    <w:rsid w:val="001D3C76"/>
    <w:rsid w:val="001E5449"/>
    <w:rsid w:val="00212AC4"/>
    <w:rsid w:val="0023130D"/>
    <w:rsid w:val="002329A1"/>
    <w:rsid w:val="00233294"/>
    <w:rsid w:val="00233E15"/>
    <w:rsid w:val="002400BC"/>
    <w:rsid w:val="0024012A"/>
    <w:rsid w:val="0026271A"/>
    <w:rsid w:val="002C40E9"/>
    <w:rsid w:val="002F198A"/>
    <w:rsid w:val="002F35A8"/>
    <w:rsid w:val="002F584F"/>
    <w:rsid w:val="0030127B"/>
    <w:rsid w:val="00314A9F"/>
    <w:rsid w:val="003238CF"/>
    <w:rsid w:val="003333A6"/>
    <w:rsid w:val="0034670C"/>
    <w:rsid w:val="00362FE8"/>
    <w:rsid w:val="00372E7C"/>
    <w:rsid w:val="0039052B"/>
    <w:rsid w:val="003A1102"/>
    <w:rsid w:val="003A138C"/>
    <w:rsid w:val="003B44C1"/>
    <w:rsid w:val="003B4FE5"/>
    <w:rsid w:val="003C0839"/>
    <w:rsid w:val="003C64B5"/>
    <w:rsid w:val="003D252F"/>
    <w:rsid w:val="003E1042"/>
    <w:rsid w:val="003E2965"/>
    <w:rsid w:val="003F11E8"/>
    <w:rsid w:val="003F6434"/>
    <w:rsid w:val="00431829"/>
    <w:rsid w:val="004502E2"/>
    <w:rsid w:val="00450ABF"/>
    <w:rsid w:val="00457BEA"/>
    <w:rsid w:val="00464702"/>
    <w:rsid w:val="00467643"/>
    <w:rsid w:val="004751F9"/>
    <w:rsid w:val="00481B20"/>
    <w:rsid w:val="004B6A5E"/>
    <w:rsid w:val="004C4A09"/>
    <w:rsid w:val="004C4E56"/>
    <w:rsid w:val="004D7A91"/>
    <w:rsid w:val="004D7C07"/>
    <w:rsid w:val="004E2B87"/>
    <w:rsid w:val="004E468E"/>
    <w:rsid w:val="004E4A3F"/>
    <w:rsid w:val="00504FD0"/>
    <w:rsid w:val="00506728"/>
    <w:rsid w:val="00527BBF"/>
    <w:rsid w:val="00537084"/>
    <w:rsid w:val="0056331A"/>
    <w:rsid w:val="005659BD"/>
    <w:rsid w:val="005673E9"/>
    <w:rsid w:val="00570E56"/>
    <w:rsid w:val="00581862"/>
    <w:rsid w:val="005B3164"/>
    <w:rsid w:val="005D7E18"/>
    <w:rsid w:val="0060668D"/>
    <w:rsid w:val="00615403"/>
    <w:rsid w:val="006212D1"/>
    <w:rsid w:val="006256B6"/>
    <w:rsid w:val="00633A2F"/>
    <w:rsid w:val="00637A2B"/>
    <w:rsid w:val="00646836"/>
    <w:rsid w:val="006535D6"/>
    <w:rsid w:val="006731DB"/>
    <w:rsid w:val="00680E8E"/>
    <w:rsid w:val="00690909"/>
    <w:rsid w:val="006A2189"/>
    <w:rsid w:val="006A589D"/>
    <w:rsid w:val="006B5104"/>
    <w:rsid w:val="006B76D2"/>
    <w:rsid w:val="006C3C2F"/>
    <w:rsid w:val="006C5D57"/>
    <w:rsid w:val="006E1537"/>
    <w:rsid w:val="006E5FE2"/>
    <w:rsid w:val="006F45A5"/>
    <w:rsid w:val="006F4BAE"/>
    <w:rsid w:val="00706D80"/>
    <w:rsid w:val="00717C3E"/>
    <w:rsid w:val="00722F06"/>
    <w:rsid w:val="00724C92"/>
    <w:rsid w:val="00733912"/>
    <w:rsid w:val="00733A19"/>
    <w:rsid w:val="00735BEC"/>
    <w:rsid w:val="00741B7E"/>
    <w:rsid w:val="0074319F"/>
    <w:rsid w:val="00746ADB"/>
    <w:rsid w:val="00765467"/>
    <w:rsid w:val="007758BC"/>
    <w:rsid w:val="00781248"/>
    <w:rsid w:val="007940ED"/>
    <w:rsid w:val="007A703A"/>
    <w:rsid w:val="007B2DB5"/>
    <w:rsid w:val="007C346A"/>
    <w:rsid w:val="007D29ED"/>
    <w:rsid w:val="007E398C"/>
    <w:rsid w:val="007E727C"/>
    <w:rsid w:val="00805FA0"/>
    <w:rsid w:val="0082223B"/>
    <w:rsid w:val="008345E5"/>
    <w:rsid w:val="00834B9E"/>
    <w:rsid w:val="008361C7"/>
    <w:rsid w:val="008412D9"/>
    <w:rsid w:val="00842AFB"/>
    <w:rsid w:val="0086218E"/>
    <w:rsid w:val="0086459F"/>
    <w:rsid w:val="008716A2"/>
    <w:rsid w:val="008759ED"/>
    <w:rsid w:val="008B59C7"/>
    <w:rsid w:val="008C7612"/>
    <w:rsid w:val="008D0390"/>
    <w:rsid w:val="008F2355"/>
    <w:rsid w:val="00901823"/>
    <w:rsid w:val="00920F4C"/>
    <w:rsid w:val="0093010D"/>
    <w:rsid w:val="00930633"/>
    <w:rsid w:val="00974058"/>
    <w:rsid w:val="0097480E"/>
    <w:rsid w:val="0098757B"/>
    <w:rsid w:val="009974A1"/>
    <w:rsid w:val="009A5B0E"/>
    <w:rsid w:val="009B1DD0"/>
    <w:rsid w:val="009B228D"/>
    <w:rsid w:val="009B5C56"/>
    <w:rsid w:val="009C5D86"/>
    <w:rsid w:val="009D0A38"/>
    <w:rsid w:val="009E0340"/>
    <w:rsid w:val="009E57BB"/>
    <w:rsid w:val="009E6578"/>
    <w:rsid w:val="009F1DF9"/>
    <w:rsid w:val="009F46B3"/>
    <w:rsid w:val="009F68DE"/>
    <w:rsid w:val="00A00641"/>
    <w:rsid w:val="00A02180"/>
    <w:rsid w:val="00A10586"/>
    <w:rsid w:val="00A125DD"/>
    <w:rsid w:val="00A35C30"/>
    <w:rsid w:val="00A75F01"/>
    <w:rsid w:val="00A91837"/>
    <w:rsid w:val="00AA2E2A"/>
    <w:rsid w:val="00AB2E77"/>
    <w:rsid w:val="00AC07E3"/>
    <w:rsid w:val="00AF21B1"/>
    <w:rsid w:val="00B07A6C"/>
    <w:rsid w:val="00B23A7E"/>
    <w:rsid w:val="00B276AF"/>
    <w:rsid w:val="00B87178"/>
    <w:rsid w:val="00B90320"/>
    <w:rsid w:val="00BD0AE8"/>
    <w:rsid w:val="00C04257"/>
    <w:rsid w:val="00C07B24"/>
    <w:rsid w:val="00C10DF5"/>
    <w:rsid w:val="00C3432D"/>
    <w:rsid w:val="00C3729B"/>
    <w:rsid w:val="00C44096"/>
    <w:rsid w:val="00C47D8E"/>
    <w:rsid w:val="00C50752"/>
    <w:rsid w:val="00C51E45"/>
    <w:rsid w:val="00C565BC"/>
    <w:rsid w:val="00C6749D"/>
    <w:rsid w:val="00C71CEE"/>
    <w:rsid w:val="00C9306B"/>
    <w:rsid w:val="00C93833"/>
    <w:rsid w:val="00C94BED"/>
    <w:rsid w:val="00C953F0"/>
    <w:rsid w:val="00C97390"/>
    <w:rsid w:val="00CA19BF"/>
    <w:rsid w:val="00CA1ED7"/>
    <w:rsid w:val="00CC59F2"/>
    <w:rsid w:val="00CC66BC"/>
    <w:rsid w:val="00CD4A89"/>
    <w:rsid w:val="00CF14D3"/>
    <w:rsid w:val="00CF7EC4"/>
    <w:rsid w:val="00D33250"/>
    <w:rsid w:val="00D34307"/>
    <w:rsid w:val="00D86229"/>
    <w:rsid w:val="00D8657A"/>
    <w:rsid w:val="00D92B21"/>
    <w:rsid w:val="00D97D7B"/>
    <w:rsid w:val="00DA1CE3"/>
    <w:rsid w:val="00DA311C"/>
    <w:rsid w:val="00DA35D5"/>
    <w:rsid w:val="00DB3A9D"/>
    <w:rsid w:val="00DB6471"/>
    <w:rsid w:val="00DB7988"/>
    <w:rsid w:val="00DC0B49"/>
    <w:rsid w:val="00DC242A"/>
    <w:rsid w:val="00DD1AB8"/>
    <w:rsid w:val="00DE093E"/>
    <w:rsid w:val="00DF0B57"/>
    <w:rsid w:val="00DF72F9"/>
    <w:rsid w:val="00E00883"/>
    <w:rsid w:val="00E12886"/>
    <w:rsid w:val="00E21B6F"/>
    <w:rsid w:val="00E224A5"/>
    <w:rsid w:val="00E37014"/>
    <w:rsid w:val="00E67DEE"/>
    <w:rsid w:val="00E748EE"/>
    <w:rsid w:val="00E755AA"/>
    <w:rsid w:val="00E76BBA"/>
    <w:rsid w:val="00E92F3B"/>
    <w:rsid w:val="00EA3D4A"/>
    <w:rsid w:val="00EC6AE8"/>
    <w:rsid w:val="00EC787A"/>
    <w:rsid w:val="00EE351C"/>
    <w:rsid w:val="00EF6E28"/>
    <w:rsid w:val="00F141EE"/>
    <w:rsid w:val="00F2222A"/>
    <w:rsid w:val="00F43E0C"/>
    <w:rsid w:val="00F511DF"/>
    <w:rsid w:val="00F56E92"/>
    <w:rsid w:val="00F656C8"/>
    <w:rsid w:val="00F72662"/>
    <w:rsid w:val="00F95978"/>
    <w:rsid w:val="00FA2EC6"/>
    <w:rsid w:val="00FB56B4"/>
    <w:rsid w:val="00FC663A"/>
    <w:rsid w:val="00FD01A0"/>
    <w:rsid w:val="00FD2F19"/>
    <w:rsid w:val="00FE4CE3"/>
    <w:rsid w:val="00FF1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7B606"/>
  <w15:chartTrackingRefBased/>
  <w15:docId w15:val="{EEBF4876-4395-40DC-A6AC-D855CD1D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har"/>
    <w:qFormat/>
    <w:rsid w:val="0010483D"/>
    <w:pPr>
      <w:keepNext/>
      <w:numPr>
        <w:ilvl w:val="3"/>
        <w:numId w:val="1"/>
      </w:numPr>
      <w:suppressAutoHyphens/>
      <w:spacing w:after="0" w:line="240" w:lineRule="auto"/>
      <w:jc w:val="center"/>
      <w:outlineLvl w:val="3"/>
    </w:pPr>
    <w:rPr>
      <w:rFonts w:ascii="Bookman Old Style" w:eastAsia="Times New Roman" w:hAnsi="Bookman Old Style" w:cs="Bookman Old Style"/>
      <w:b/>
      <w:sz w:val="18"/>
      <w:szCs w:val="20"/>
      <w:lang w:eastAsia="zh-CN"/>
    </w:rPr>
  </w:style>
  <w:style w:type="paragraph" w:styleId="Ttulo5">
    <w:name w:val="heading 5"/>
    <w:basedOn w:val="Normal"/>
    <w:next w:val="Normal"/>
    <w:link w:val="Ttulo5Char"/>
    <w:qFormat/>
    <w:rsid w:val="0010483D"/>
    <w:pPr>
      <w:numPr>
        <w:ilvl w:val="4"/>
        <w:numId w:val="1"/>
      </w:numPr>
      <w:suppressAutoHyphens/>
      <w:spacing w:before="240" w:after="60" w:line="240" w:lineRule="auto"/>
      <w:jc w:val="both"/>
      <w:outlineLvl w:val="4"/>
    </w:pPr>
    <w:rPr>
      <w:rFonts w:ascii="Calibri" w:eastAsia="Times New Roman" w:hAnsi="Calibri" w:cs="Calibri"/>
      <w:b/>
      <w:bCs/>
      <w:i/>
      <w:i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4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70E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0E56"/>
  </w:style>
  <w:style w:type="paragraph" w:styleId="Rodap">
    <w:name w:val="footer"/>
    <w:basedOn w:val="Normal"/>
    <w:link w:val="RodapChar"/>
    <w:unhideWhenUsed/>
    <w:rsid w:val="00570E56"/>
    <w:pPr>
      <w:tabs>
        <w:tab w:val="center" w:pos="4252"/>
        <w:tab w:val="right" w:pos="8504"/>
      </w:tabs>
      <w:spacing w:after="0" w:line="240" w:lineRule="auto"/>
    </w:pPr>
  </w:style>
  <w:style w:type="character" w:customStyle="1" w:styleId="RodapChar">
    <w:name w:val="Rodapé Char"/>
    <w:basedOn w:val="Fontepargpadro"/>
    <w:link w:val="Rodap"/>
    <w:rsid w:val="00570E56"/>
  </w:style>
  <w:style w:type="character" w:styleId="Hyperlink">
    <w:name w:val="Hyperlink"/>
    <w:basedOn w:val="Fontepargpadro"/>
    <w:uiPriority w:val="99"/>
    <w:unhideWhenUsed/>
    <w:rsid w:val="002F584F"/>
    <w:rPr>
      <w:color w:val="0000FF"/>
      <w:u w:val="single"/>
    </w:rPr>
  </w:style>
  <w:style w:type="paragraph" w:styleId="PargrafodaLista">
    <w:name w:val="List Paragraph"/>
    <w:basedOn w:val="Normal"/>
    <w:uiPriority w:val="34"/>
    <w:qFormat/>
    <w:rsid w:val="00F95978"/>
    <w:pPr>
      <w:ind w:left="720"/>
      <w:contextualSpacing/>
    </w:pPr>
  </w:style>
  <w:style w:type="character" w:styleId="Refdecomentrio">
    <w:name w:val="annotation reference"/>
    <w:basedOn w:val="Fontepargpadro"/>
    <w:uiPriority w:val="99"/>
    <w:semiHidden/>
    <w:unhideWhenUsed/>
    <w:rsid w:val="00017294"/>
    <w:rPr>
      <w:sz w:val="16"/>
      <w:szCs w:val="16"/>
    </w:rPr>
  </w:style>
  <w:style w:type="paragraph" w:styleId="Textodecomentrio">
    <w:name w:val="annotation text"/>
    <w:basedOn w:val="Normal"/>
    <w:link w:val="TextodecomentrioChar"/>
    <w:uiPriority w:val="99"/>
    <w:semiHidden/>
    <w:unhideWhenUsed/>
    <w:rsid w:val="0001729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7294"/>
    <w:rPr>
      <w:sz w:val="20"/>
      <w:szCs w:val="20"/>
    </w:rPr>
  </w:style>
  <w:style w:type="paragraph" w:styleId="Assuntodocomentrio">
    <w:name w:val="annotation subject"/>
    <w:basedOn w:val="Textodecomentrio"/>
    <w:next w:val="Textodecomentrio"/>
    <w:link w:val="AssuntodocomentrioChar"/>
    <w:uiPriority w:val="99"/>
    <w:semiHidden/>
    <w:unhideWhenUsed/>
    <w:rsid w:val="00017294"/>
    <w:rPr>
      <w:b/>
      <w:bCs/>
    </w:rPr>
  </w:style>
  <w:style w:type="character" w:customStyle="1" w:styleId="AssuntodocomentrioChar">
    <w:name w:val="Assunto do comentário Char"/>
    <w:basedOn w:val="TextodecomentrioChar"/>
    <w:link w:val="Assuntodocomentrio"/>
    <w:uiPriority w:val="99"/>
    <w:semiHidden/>
    <w:rsid w:val="00017294"/>
    <w:rPr>
      <w:b/>
      <w:bCs/>
      <w:sz w:val="20"/>
      <w:szCs w:val="20"/>
    </w:rPr>
  </w:style>
  <w:style w:type="paragraph" w:styleId="Textodebalo">
    <w:name w:val="Balloon Text"/>
    <w:basedOn w:val="Normal"/>
    <w:link w:val="TextodebaloChar"/>
    <w:uiPriority w:val="99"/>
    <w:semiHidden/>
    <w:unhideWhenUsed/>
    <w:rsid w:val="000172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7294"/>
    <w:rPr>
      <w:rFonts w:ascii="Segoe UI" w:hAnsi="Segoe UI" w:cs="Segoe UI"/>
      <w:sz w:val="18"/>
      <w:szCs w:val="18"/>
    </w:rPr>
  </w:style>
  <w:style w:type="paragraph" w:styleId="Textodenotadefim">
    <w:name w:val="endnote text"/>
    <w:basedOn w:val="Normal"/>
    <w:link w:val="TextodenotadefimChar"/>
    <w:uiPriority w:val="99"/>
    <w:semiHidden/>
    <w:unhideWhenUsed/>
    <w:rsid w:val="00F2222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2222A"/>
    <w:rPr>
      <w:sz w:val="20"/>
      <w:szCs w:val="20"/>
    </w:rPr>
  </w:style>
  <w:style w:type="character" w:styleId="Refdenotadefim">
    <w:name w:val="endnote reference"/>
    <w:basedOn w:val="Fontepargpadro"/>
    <w:uiPriority w:val="99"/>
    <w:semiHidden/>
    <w:unhideWhenUsed/>
    <w:rsid w:val="00F2222A"/>
    <w:rPr>
      <w:vertAlign w:val="superscript"/>
    </w:rPr>
  </w:style>
  <w:style w:type="paragraph" w:styleId="Textodenotaderodap">
    <w:name w:val="footnote text"/>
    <w:basedOn w:val="Normal"/>
    <w:link w:val="TextodenotaderodapChar"/>
    <w:uiPriority w:val="99"/>
    <w:semiHidden/>
    <w:unhideWhenUsed/>
    <w:rsid w:val="00F2222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2222A"/>
    <w:rPr>
      <w:sz w:val="20"/>
      <w:szCs w:val="20"/>
    </w:rPr>
  </w:style>
  <w:style w:type="character" w:styleId="Refdenotaderodap">
    <w:name w:val="footnote reference"/>
    <w:basedOn w:val="Fontepargpadro"/>
    <w:uiPriority w:val="99"/>
    <w:semiHidden/>
    <w:unhideWhenUsed/>
    <w:rsid w:val="00F2222A"/>
    <w:rPr>
      <w:vertAlign w:val="superscript"/>
    </w:rPr>
  </w:style>
  <w:style w:type="character" w:customStyle="1" w:styleId="Ttulo4Char">
    <w:name w:val="Título 4 Char"/>
    <w:basedOn w:val="Fontepargpadro"/>
    <w:link w:val="Ttulo4"/>
    <w:rsid w:val="0010483D"/>
    <w:rPr>
      <w:rFonts w:ascii="Bookman Old Style" w:eastAsia="Times New Roman" w:hAnsi="Bookman Old Style" w:cs="Bookman Old Style"/>
      <w:b/>
      <w:sz w:val="18"/>
      <w:szCs w:val="20"/>
      <w:lang w:eastAsia="zh-CN"/>
    </w:rPr>
  </w:style>
  <w:style w:type="character" w:customStyle="1" w:styleId="Ttulo5Char">
    <w:name w:val="Título 5 Char"/>
    <w:basedOn w:val="Fontepargpadro"/>
    <w:link w:val="Ttulo5"/>
    <w:rsid w:val="0010483D"/>
    <w:rPr>
      <w:rFonts w:ascii="Calibri" w:eastAsia="Times New Roman" w:hAnsi="Calibri" w:cs="Calibri"/>
      <w:b/>
      <w:bCs/>
      <w:i/>
      <w:iCs/>
      <w:sz w:val="26"/>
      <w:szCs w:val="26"/>
      <w:lang w:eastAsia="zh-CN"/>
    </w:rPr>
  </w:style>
  <w:style w:type="table" w:styleId="TabeladeGrade4-nfase6">
    <w:name w:val="Grid Table 4 Accent 6"/>
    <w:basedOn w:val="Tabelanormal"/>
    <w:uiPriority w:val="49"/>
    <w:rsid w:val="00FC66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6Colorida-nfase6">
    <w:name w:val="Grid Table 6 Colorful Accent 6"/>
    <w:basedOn w:val="Tabelanormal"/>
    <w:uiPriority w:val="51"/>
    <w:rsid w:val="00DA35D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egenda">
    <w:name w:val="caption"/>
    <w:basedOn w:val="Normal"/>
    <w:next w:val="Normal"/>
    <w:uiPriority w:val="35"/>
    <w:unhideWhenUsed/>
    <w:qFormat/>
    <w:rsid w:val="00DA35D5"/>
    <w:pPr>
      <w:spacing w:after="200" w:line="240" w:lineRule="auto"/>
    </w:pPr>
    <w:rPr>
      <w:i/>
      <w:iCs/>
      <w:color w:val="44546A" w:themeColor="text2"/>
      <w:sz w:val="18"/>
      <w:szCs w:val="18"/>
    </w:rPr>
  </w:style>
  <w:style w:type="paragraph" w:customStyle="1" w:styleId="Default">
    <w:name w:val="Default"/>
    <w:rsid w:val="00AA2E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8156">
      <w:bodyDiv w:val="1"/>
      <w:marLeft w:val="0"/>
      <w:marRight w:val="0"/>
      <w:marTop w:val="0"/>
      <w:marBottom w:val="0"/>
      <w:divBdr>
        <w:top w:val="none" w:sz="0" w:space="0" w:color="auto"/>
        <w:left w:val="none" w:sz="0" w:space="0" w:color="auto"/>
        <w:bottom w:val="none" w:sz="0" w:space="0" w:color="auto"/>
        <w:right w:val="none" w:sz="0" w:space="0" w:color="auto"/>
      </w:divBdr>
    </w:div>
    <w:div w:id="146635891">
      <w:bodyDiv w:val="1"/>
      <w:marLeft w:val="0"/>
      <w:marRight w:val="0"/>
      <w:marTop w:val="0"/>
      <w:marBottom w:val="0"/>
      <w:divBdr>
        <w:top w:val="none" w:sz="0" w:space="0" w:color="auto"/>
        <w:left w:val="none" w:sz="0" w:space="0" w:color="auto"/>
        <w:bottom w:val="none" w:sz="0" w:space="0" w:color="auto"/>
        <w:right w:val="none" w:sz="0" w:space="0" w:color="auto"/>
      </w:divBdr>
    </w:div>
    <w:div w:id="367293374">
      <w:bodyDiv w:val="1"/>
      <w:marLeft w:val="0"/>
      <w:marRight w:val="0"/>
      <w:marTop w:val="0"/>
      <w:marBottom w:val="0"/>
      <w:divBdr>
        <w:top w:val="none" w:sz="0" w:space="0" w:color="auto"/>
        <w:left w:val="none" w:sz="0" w:space="0" w:color="auto"/>
        <w:bottom w:val="none" w:sz="0" w:space="0" w:color="auto"/>
        <w:right w:val="none" w:sz="0" w:space="0" w:color="auto"/>
      </w:divBdr>
    </w:div>
    <w:div w:id="560484363">
      <w:bodyDiv w:val="1"/>
      <w:marLeft w:val="0"/>
      <w:marRight w:val="0"/>
      <w:marTop w:val="0"/>
      <w:marBottom w:val="0"/>
      <w:divBdr>
        <w:top w:val="none" w:sz="0" w:space="0" w:color="auto"/>
        <w:left w:val="none" w:sz="0" w:space="0" w:color="auto"/>
        <w:bottom w:val="none" w:sz="0" w:space="0" w:color="auto"/>
        <w:right w:val="none" w:sz="0" w:space="0" w:color="auto"/>
      </w:divBdr>
    </w:div>
    <w:div w:id="563881136">
      <w:bodyDiv w:val="1"/>
      <w:marLeft w:val="0"/>
      <w:marRight w:val="0"/>
      <w:marTop w:val="0"/>
      <w:marBottom w:val="0"/>
      <w:divBdr>
        <w:top w:val="none" w:sz="0" w:space="0" w:color="auto"/>
        <w:left w:val="none" w:sz="0" w:space="0" w:color="auto"/>
        <w:bottom w:val="none" w:sz="0" w:space="0" w:color="auto"/>
        <w:right w:val="none" w:sz="0" w:space="0" w:color="auto"/>
      </w:divBdr>
    </w:div>
    <w:div w:id="1076512733">
      <w:bodyDiv w:val="1"/>
      <w:marLeft w:val="0"/>
      <w:marRight w:val="0"/>
      <w:marTop w:val="0"/>
      <w:marBottom w:val="0"/>
      <w:divBdr>
        <w:top w:val="none" w:sz="0" w:space="0" w:color="auto"/>
        <w:left w:val="none" w:sz="0" w:space="0" w:color="auto"/>
        <w:bottom w:val="none" w:sz="0" w:space="0" w:color="auto"/>
        <w:right w:val="none" w:sz="0" w:space="0" w:color="auto"/>
      </w:divBdr>
    </w:div>
    <w:div w:id="1131434154">
      <w:bodyDiv w:val="1"/>
      <w:marLeft w:val="0"/>
      <w:marRight w:val="0"/>
      <w:marTop w:val="0"/>
      <w:marBottom w:val="0"/>
      <w:divBdr>
        <w:top w:val="none" w:sz="0" w:space="0" w:color="auto"/>
        <w:left w:val="none" w:sz="0" w:space="0" w:color="auto"/>
        <w:bottom w:val="none" w:sz="0" w:space="0" w:color="auto"/>
        <w:right w:val="none" w:sz="0" w:space="0" w:color="auto"/>
      </w:divBdr>
    </w:div>
    <w:div w:id="1291203114">
      <w:bodyDiv w:val="1"/>
      <w:marLeft w:val="0"/>
      <w:marRight w:val="0"/>
      <w:marTop w:val="0"/>
      <w:marBottom w:val="0"/>
      <w:divBdr>
        <w:top w:val="none" w:sz="0" w:space="0" w:color="auto"/>
        <w:left w:val="none" w:sz="0" w:space="0" w:color="auto"/>
        <w:bottom w:val="none" w:sz="0" w:space="0" w:color="auto"/>
        <w:right w:val="none" w:sz="0" w:space="0" w:color="auto"/>
      </w:divBdr>
    </w:div>
    <w:div w:id="1297682441">
      <w:bodyDiv w:val="1"/>
      <w:marLeft w:val="0"/>
      <w:marRight w:val="0"/>
      <w:marTop w:val="0"/>
      <w:marBottom w:val="0"/>
      <w:divBdr>
        <w:top w:val="none" w:sz="0" w:space="0" w:color="auto"/>
        <w:left w:val="none" w:sz="0" w:space="0" w:color="auto"/>
        <w:bottom w:val="none" w:sz="0" w:space="0" w:color="auto"/>
        <w:right w:val="none" w:sz="0" w:space="0" w:color="auto"/>
      </w:divBdr>
    </w:div>
    <w:div w:id="1639341882">
      <w:bodyDiv w:val="1"/>
      <w:marLeft w:val="0"/>
      <w:marRight w:val="0"/>
      <w:marTop w:val="0"/>
      <w:marBottom w:val="0"/>
      <w:divBdr>
        <w:top w:val="none" w:sz="0" w:space="0" w:color="auto"/>
        <w:left w:val="none" w:sz="0" w:space="0" w:color="auto"/>
        <w:bottom w:val="none" w:sz="0" w:space="0" w:color="auto"/>
        <w:right w:val="none" w:sz="0" w:space="0" w:color="auto"/>
      </w:divBdr>
    </w:div>
    <w:div w:id="1715957379">
      <w:bodyDiv w:val="1"/>
      <w:marLeft w:val="0"/>
      <w:marRight w:val="0"/>
      <w:marTop w:val="0"/>
      <w:marBottom w:val="0"/>
      <w:divBdr>
        <w:top w:val="none" w:sz="0" w:space="0" w:color="auto"/>
        <w:left w:val="none" w:sz="0" w:space="0" w:color="auto"/>
        <w:bottom w:val="none" w:sz="0" w:space="0" w:color="auto"/>
        <w:right w:val="none" w:sz="0" w:space="0" w:color="auto"/>
      </w:divBdr>
    </w:div>
    <w:div w:id="1782188263">
      <w:bodyDiv w:val="1"/>
      <w:marLeft w:val="0"/>
      <w:marRight w:val="0"/>
      <w:marTop w:val="0"/>
      <w:marBottom w:val="0"/>
      <w:divBdr>
        <w:top w:val="none" w:sz="0" w:space="0" w:color="auto"/>
        <w:left w:val="none" w:sz="0" w:space="0" w:color="auto"/>
        <w:bottom w:val="none" w:sz="0" w:space="0" w:color="auto"/>
        <w:right w:val="none" w:sz="0" w:space="0" w:color="auto"/>
      </w:divBdr>
    </w:div>
    <w:div w:id="1811900049">
      <w:bodyDiv w:val="1"/>
      <w:marLeft w:val="0"/>
      <w:marRight w:val="0"/>
      <w:marTop w:val="0"/>
      <w:marBottom w:val="0"/>
      <w:divBdr>
        <w:top w:val="none" w:sz="0" w:space="0" w:color="auto"/>
        <w:left w:val="none" w:sz="0" w:space="0" w:color="auto"/>
        <w:bottom w:val="none" w:sz="0" w:space="0" w:color="auto"/>
        <w:right w:val="none" w:sz="0" w:space="0" w:color="auto"/>
      </w:divBdr>
    </w:div>
    <w:div w:id="1887796732">
      <w:bodyDiv w:val="1"/>
      <w:marLeft w:val="0"/>
      <w:marRight w:val="0"/>
      <w:marTop w:val="0"/>
      <w:marBottom w:val="0"/>
      <w:divBdr>
        <w:top w:val="none" w:sz="0" w:space="0" w:color="auto"/>
        <w:left w:val="none" w:sz="0" w:space="0" w:color="auto"/>
        <w:bottom w:val="none" w:sz="0" w:space="0" w:color="auto"/>
        <w:right w:val="none" w:sz="0" w:space="0" w:color="auto"/>
      </w:divBdr>
    </w:div>
    <w:div w:id="1945961212">
      <w:bodyDiv w:val="1"/>
      <w:marLeft w:val="0"/>
      <w:marRight w:val="0"/>
      <w:marTop w:val="0"/>
      <w:marBottom w:val="0"/>
      <w:divBdr>
        <w:top w:val="none" w:sz="0" w:space="0" w:color="auto"/>
        <w:left w:val="none" w:sz="0" w:space="0" w:color="auto"/>
        <w:bottom w:val="none" w:sz="0" w:space="0" w:color="auto"/>
        <w:right w:val="none" w:sz="0" w:space="0" w:color="auto"/>
      </w:divBdr>
    </w:div>
    <w:div w:id="1966737218">
      <w:bodyDiv w:val="1"/>
      <w:marLeft w:val="0"/>
      <w:marRight w:val="0"/>
      <w:marTop w:val="0"/>
      <w:marBottom w:val="0"/>
      <w:divBdr>
        <w:top w:val="none" w:sz="0" w:space="0" w:color="auto"/>
        <w:left w:val="none" w:sz="0" w:space="0" w:color="auto"/>
        <w:bottom w:val="none" w:sz="0" w:space="0" w:color="auto"/>
        <w:right w:val="none" w:sz="0" w:space="0" w:color="auto"/>
      </w:divBdr>
    </w:div>
    <w:div w:id="2001224888">
      <w:bodyDiv w:val="1"/>
      <w:marLeft w:val="0"/>
      <w:marRight w:val="0"/>
      <w:marTop w:val="0"/>
      <w:marBottom w:val="0"/>
      <w:divBdr>
        <w:top w:val="none" w:sz="0" w:space="0" w:color="auto"/>
        <w:left w:val="none" w:sz="0" w:space="0" w:color="auto"/>
        <w:bottom w:val="none" w:sz="0" w:space="0" w:color="auto"/>
        <w:right w:val="none" w:sz="0" w:space="0" w:color="auto"/>
      </w:divBdr>
    </w:div>
    <w:div w:id="2009211942">
      <w:bodyDiv w:val="1"/>
      <w:marLeft w:val="0"/>
      <w:marRight w:val="0"/>
      <w:marTop w:val="0"/>
      <w:marBottom w:val="0"/>
      <w:divBdr>
        <w:top w:val="none" w:sz="0" w:space="0" w:color="auto"/>
        <w:left w:val="none" w:sz="0" w:space="0" w:color="auto"/>
        <w:bottom w:val="none" w:sz="0" w:space="0" w:color="auto"/>
        <w:right w:val="none" w:sz="0" w:space="0" w:color="auto"/>
      </w:divBdr>
    </w:div>
    <w:div w:id="2023194409">
      <w:bodyDiv w:val="1"/>
      <w:marLeft w:val="0"/>
      <w:marRight w:val="0"/>
      <w:marTop w:val="0"/>
      <w:marBottom w:val="0"/>
      <w:divBdr>
        <w:top w:val="none" w:sz="0" w:space="0" w:color="auto"/>
        <w:left w:val="none" w:sz="0" w:space="0" w:color="auto"/>
        <w:bottom w:val="none" w:sz="0" w:space="0" w:color="auto"/>
        <w:right w:val="none" w:sz="0" w:space="0" w:color="auto"/>
      </w:divBdr>
    </w:div>
    <w:div w:id="21006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6.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302B-7D38-4B1F-968C-66CD15FF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2968</Words>
  <Characters>16031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de Rosso Bolzan</dc:creator>
  <cp:keywords/>
  <dc:description/>
  <cp:lastModifiedBy>Israel Fernandes</cp:lastModifiedBy>
  <cp:revision>6</cp:revision>
  <cp:lastPrinted>2019-09-09T18:27:00Z</cp:lastPrinted>
  <dcterms:created xsi:type="dcterms:W3CDTF">2020-11-20T07:04:00Z</dcterms:created>
  <dcterms:modified xsi:type="dcterms:W3CDTF">2020-12-22T14:33:00Z</dcterms:modified>
</cp:coreProperties>
</file>