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4CB" w:rsidRDefault="005314CB" w:rsidP="00A74D97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</w:pPr>
      <w:bookmarkStart w:id="0" w:name="_GoBack"/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 xml:space="preserve">APÊNDICE AT - </w:t>
      </w:r>
      <w:r w:rsidRPr="005314C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>INSTRUÇÃO DE APLICAÇÃO DO IMR</w:t>
      </w:r>
    </w:p>
    <w:bookmarkEnd w:id="0"/>
    <w:p w:rsidR="00A53138" w:rsidRPr="00422331" w:rsidRDefault="00A74D97" w:rsidP="00A74D97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</w:pPr>
      <w:r w:rsidRPr="0042233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 xml:space="preserve">INSTRUÇÃO PARA </w:t>
      </w:r>
      <w:r w:rsidR="006E2C6A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>A APLICAÇÃO</w:t>
      </w:r>
      <w:r w:rsidRPr="0042233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 xml:space="preserve"> DO </w:t>
      </w:r>
      <w:r w:rsidR="00A53138" w:rsidRPr="0042233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>INSTRUMENTO DE MEDIÇÃO DE RESULTADO</w:t>
      </w:r>
      <w:r w:rsidR="00EB35C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 xml:space="preserve"> (</w:t>
      </w:r>
      <w:r w:rsidR="0042233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>IMR</w:t>
      </w:r>
      <w:r w:rsidR="00EB35C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>)</w:t>
      </w:r>
    </w:p>
    <w:p w:rsidR="002C5B1C" w:rsidRPr="00422331" w:rsidRDefault="00422331" w:rsidP="002C5B1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ab/>
      </w:r>
      <w:r w:rsidR="00A74D9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O IMR é o m</w:t>
      </w:r>
      <w:r w:rsidR="002C5B1C" w:rsidRPr="00422331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ecanismo que define, em bases compreensíveis, tangíveis, objetivamente observáveis e comprováveis, os níveis esperados de qualidade da prestação dos serviços e respectivas adequações de pagamento.</w:t>
      </w:r>
    </w:p>
    <w:p w:rsidR="002C5B1C" w:rsidRDefault="002C5B1C" w:rsidP="002C5B1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422331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ab/>
      </w:r>
      <w:r w:rsidRPr="00422331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ab/>
        <w:t>O objetivo do IMR é vincular o pagamento dos serviços aos resultados alcançados, em complemento à mensuração dos serviços efetivamente prestados, não devendo as reduções de pagamento, originadas pelo descumprimento do IMR, ser interpretadas como penalidades ou multas, as quais exigem a abertura do regular processo administrativo e do contraditório.</w:t>
      </w:r>
    </w:p>
    <w:p w:rsidR="006E2C6A" w:rsidRDefault="006E2C6A" w:rsidP="006E2C6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ab/>
        <w:t xml:space="preserve">Baseado na 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IN MPDG 05/2017, ANEXO VIII, 1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, 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 fis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calização técnica dos contratos do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IFSul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deve avaliar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e fiscalizar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diariamente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a execução do objeto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e, se for o caso,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aplicar o Instrumento de Medição de R</w:t>
      </w:r>
      <w:r w:rsid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esultado -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IMR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, conforme</w:t>
      </w:r>
      <w:r w:rsid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modelo </w:t>
      </w:r>
      <w:r w:rsidR="009614D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disponibilizado no Apêndice </w:t>
      </w:r>
      <w:r w:rsidR="000C0B78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AU</w:t>
      </w:r>
      <w:r w:rsid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do Manual de Gestão e Fiscalização de Contratos do </w:t>
      </w:r>
      <w:proofErr w:type="spellStart"/>
      <w:r w:rsid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IFSul</w:t>
      </w:r>
      <w:proofErr w:type="spellEnd"/>
      <w:r w:rsid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,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ou outro instrumento substituto para aferição da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qualidade da prestação dos serviços, devendo haver o redimensionamento no pagamento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6E2C6A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com base nos indicadores estabelecidos</w:t>
      </w:r>
      <w:r w:rsid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.</w:t>
      </w:r>
    </w:p>
    <w:p w:rsidR="007D4D87" w:rsidRPr="009614DC" w:rsidRDefault="007D4D87" w:rsidP="006E2C6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ab/>
        <w:t xml:space="preserve">Visando a correta utilização do mecanismo, o fiscal de contrato deve seguir os seguintes procedimentos no preenchimento do </w:t>
      </w:r>
      <w:r w:rsidRPr="009614DC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Apêndice </w:t>
      </w:r>
      <w:r w:rsidR="000C0B78">
        <w:rPr>
          <w:rFonts w:ascii="Times New Roman" w:eastAsia="Calibri" w:hAnsi="Times New Roman" w:cs="Times New Roman"/>
          <w:sz w:val="24"/>
          <w:szCs w:val="24"/>
          <w:lang w:eastAsia="pt-BR"/>
        </w:rPr>
        <w:t>AU</w:t>
      </w:r>
      <w:r w:rsidRPr="009614DC">
        <w:rPr>
          <w:rFonts w:ascii="Times New Roman" w:eastAsia="Calibri" w:hAnsi="Times New Roman" w:cs="Times New Roman"/>
          <w:sz w:val="24"/>
          <w:szCs w:val="24"/>
          <w:lang w:eastAsia="pt-BR"/>
        </w:rPr>
        <w:t>:</w:t>
      </w:r>
    </w:p>
    <w:p w:rsidR="00DD7E47" w:rsidRPr="009614DC" w:rsidRDefault="008B1A56" w:rsidP="00DD7E4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9614DC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fiscal técnico deve fiscalizar o objeto do contrato de acordo com os indicadores previstos </w:t>
      </w:r>
      <w:r w:rsidR="00DD7E47" w:rsidRPr="009614DC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no edital e seus anexos, baseados no modelo disponibilizado no Apêndice </w:t>
      </w:r>
      <w:r w:rsidR="000C0B78">
        <w:rPr>
          <w:rFonts w:ascii="Times New Roman" w:eastAsia="Calibri" w:hAnsi="Times New Roman" w:cs="Times New Roman"/>
          <w:sz w:val="24"/>
          <w:szCs w:val="24"/>
          <w:lang w:eastAsia="pt-BR"/>
        </w:rPr>
        <w:t>AU</w:t>
      </w:r>
      <w:r w:rsidR="00DD7E47" w:rsidRPr="009614DC">
        <w:rPr>
          <w:rFonts w:ascii="Times New Roman" w:eastAsia="Calibri" w:hAnsi="Times New Roman" w:cs="Times New Roman"/>
          <w:sz w:val="24"/>
          <w:szCs w:val="24"/>
          <w:lang w:eastAsia="pt-BR"/>
        </w:rPr>
        <w:t>, de acordo com a tabela 1.</w:t>
      </w: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3397"/>
        <w:gridCol w:w="5670"/>
      </w:tblGrid>
      <w:tr w:rsidR="00DD7E47" w:rsidRPr="00422331" w:rsidTr="00DB7212">
        <w:trPr>
          <w:trHeight w:val="225"/>
        </w:trPr>
        <w:tc>
          <w:tcPr>
            <w:tcW w:w="3397" w:type="dxa"/>
            <w:noWrap/>
            <w:hideMark/>
          </w:tcPr>
          <w:p w:rsidR="00DD7E47" w:rsidRPr="00DD7E47" w:rsidRDefault="00DD7E47" w:rsidP="00DD7E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E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670" w:type="dxa"/>
            <w:hideMark/>
          </w:tcPr>
          <w:p w:rsidR="00DD7E47" w:rsidRPr="00422331" w:rsidRDefault="00DD7E47" w:rsidP="00DB72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01 – EXEMPLO DE INDICADOR</w:t>
            </w:r>
          </w:p>
        </w:tc>
      </w:tr>
      <w:tr w:rsidR="00DD7E47" w:rsidRPr="00422331" w:rsidTr="00DB7212">
        <w:trPr>
          <w:trHeight w:val="287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Finalidade</w:t>
            </w:r>
          </w:p>
        </w:tc>
        <w:tc>
          <w:tcPr>
            <w:tcW w:w="5670" w:type="dxa"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47" w:rsidRPr="00422331" w:rsidTr="00DB7212">
        <w:trPr>
          <w:trHeight w:val="70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Meta a cumprir</w:t>
            </w:r>
          </w:p>
        </w:tc>
        <w:tc>
          <w:tcPr>
            <w:tcW w:w="5670" w:type="dxa"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47" w:rsidRPr="00422331" w:rsidTr="00DB7212">
        <w:trPr>
          <w:trHeight w:val="70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Instrumento de medição</w:t>
            </w:r>
          </w:p>
        </w:tc>
        <w:tc>
          <w:tcPr>
            <w:tcW w:w="5670" w:type="dxa"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47" w:rsidRPr="00422331" w:rsidTr="00DB7212">
        <w:trPr>
          <w:trHeight w:val="146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 de acompanhamento</w:t>
            </w:r>
          </w:p>
        </w:tc>
        <w:tc>
          <w:tcPr>
            <w:tcW w:w="5670" w:type="dxa"/>
            <w:noWrap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47" w:rsidRPr="00422331" w:rsidTr="00DB7212">
        <w:trPr>
          <w:trHeight w:val="300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Periodicidade</w:t>
            </w:r>
          </w:p>
        </w:tc>
        <w:tc>
          <w:tcPr>
            <w:tcW w:w="5670" w:type="dxa"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47" w:rsidRPr="00422331" w:rsidTr="00DB7212">
        <w:trPr>
          <w:trHeight w:val="280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Mecanismo de cálculo</w:t>
            </w:r>
          </w:p>
        </w:tc>
        <w:tc>
          <w:tcPr>
            <w:tcW w:w="5670" w:type="dxa"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47" w:rsidRPr="00422331" w:rsidTr="00DB7212">
        <w:trPr>
          <w:trHeight w:val="246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Início de vigência</w:t>
            </w:r>
          </w:p>
        </w:tc>
        <w:tc>
          <w:tcPr>
            <w:tcW w:w="5670" w:type="dxa"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47" w:rsidRPr="00422331" w:rsidTr="00DB7212">
        <w:trPr>
          <w:trHeight w:val="274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Faixas de ajuste no pagamento</w:t>
            </w:r>
          </w:p>
        </w:tc>
        <w:tc>
          <w:tcPr>
            <w:tcW w:w="5670" w:type="dxa"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47" w:rsidRPr="00422331" w:rsidTr="00DB7212">
        <w:trPr>
          <w:trHeight w:val="292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Sanções</w:t>
            </w:r>
          </w:p>
        </w:tc>
        <w:tc>
          <w:tcPr>
            <w:tcW w:w="5670" w:type="dxa"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E47" w:rsidRPr="00422331" w:rsidTr="00DB7212">
        <w:trPr>
          <w:trHeight w:val="315"/>
        </w:trPr>
        <w:tc>
          <w:tcPr>
            <w:tcW w:w="3397" w:type="dxa"/>
            <w:noWrap/>
            <w:hideMark/>
          </w:tcPr>
          <w:p w:rsidR="00DD7E47" w:rsidRPr="00422331" w:rsidRDefault="00DD7E47" w:rsidP="00DB72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Observações</w:t>
            </w:r>
          </w:p>
        </w:tc>
        <w:tc>
          <w:tcPr>
            <w:tcW w:w="5670" w:type="dxa"/>
            <w:hideMark/>
          </w:tcPr>
          <w:p w:rsidR="00DD7E47" w:rsidRPr="00422331" w:rsidRDefault="00DD7E47" w:rsidP="00DB7212">
            <w:pPr>
              <w:keepNext/>
              <w:rPr>
                <w:rFonts w:ascii="Times New Roman" w:hAnsi="Times New Roman" w:cs="Times New Roman"/>
                <w:sz w:val="24"/>
                <w:szCs w:val="24"/>
              </w:rPr>
            </w:pPr>
            <w:r w:rsidRPr="004223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D7E47" w:rsidRDefault="00DD7E47" w:rsidP="00DD7E47">
      <w:pPr>
        <w:pStyle w:val="Legenda"/>
        <w:jc w:val="center"/>
        <w:rPr>
          <w:rFonts w:ascii="Times New Roman" w:hAnsi="Times New Roman" w:cs="Times New Roman"/>
          <w:color w:val="auto"/>
        </w:rPr>
      </w:pPr>
      <w:r w:rsidRPr="00C04BA7">
        <w:rPr>
          <w:rFonts w:ascii="Times New Roman" w:hAnsi="Times New Roman" w:cs="Times New Roman"/>
          <w:color w:val="auto"/>
        </w:rPr>
        <w:t xml:space="preserve">Tabela </w:t>
      </w:r>
      <w:r w:rsidRPr="00C04BA7">
        <w:rPr>
          <w:rFonts w:ascii="Times New Roman" w:hAnsi="Times New Roman" w:cs="Times New Roman"/>
          <w:color w:val="auto"/>
        </w:rPr>
        <w:fldChar w:fldCharType="begin"/>
      </w:r>
      <w:r w:rsidRPr="00C04BA7">
        <w:rPr>
          <w:rFonts w:ascii="Times New Roman" w:hAnsi="Times New Roman" w:cs="Times New Roman"/>
          <w:color w:val="auto"/>
        </w:rPr>
        <w:instrText xml:space="preserve"> SEQ Tabela \* ARABIC </w:instrText>
      </w:r>
      <w:r w:rsidRPr="00C04BA7">
        <w:rPr>
          <w:rFonts w:ascii="Times New Roman" w:hAnsi="Times New Roman" w:cs="Times New Roman"/>
          <w:color w:val="auto"/>
        </w:rPr>
        <w:fldChar w:fldCharType="separate"/>
      </w:r>
      <w:r>
        <w:rPr>
          <w:rFonts w:ascii="Times New Roman" w:hAnsi="Times New Roman" w:cs="Times New Roman"/>
          <w:noProof/>
          <w:color w:val="auto"/>
        </w:rPr>
        <w:t>1</w:t>
      </w:r>
      <w:r w:rsidRPr="00C04BA7">
        <w:rPr>
          <w:rFonts w:ascii="Times New Roman" w:hAnsi="Times New Roman" w:cs="Times New Roman"/>
          <w:color w:val="auto"/>
        </w:rPr>
        <w:fldChar w:fldCharType="end"/>
      </w:r>
      <w:r w:rsidRPr="00C04BA7">
        <w:rPr>
          <w:rFonts w:ascii="Times New Roman" w:hAnsi="Times New Roman" w:cs="Times New Roman"/>
          <w:color w:val="auto"/>
        </w:rPr>
        <w:t xml:space="preserve"> - Exemplo de indicador</w:t>
      </w:r>
    </w:p>
    <w:p w:rsidR="008B1A56" w:rsidRPr="008B1A56" w:rsidRDefault="008B1A56" w:rsidP="008B1A56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Diariamente o fiscal deve realizar o acompanhamento do objeto contratado, e havendo alguma ocorrência comunicar imediatamente a contratada e </w:t>
      </w:r>
      <w:r w:rsidRPr="009614DC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preencher o Apêndice </w:t>
      </w:r>
      <w:r w:rsidR="000C0B78">
        <w:rPr>
          <w:rFonts w:ascii="Times New Roman" w:eastAsia="Calibri" w:hAnsi="Times New Roman" w:cs="Times New Roman"/>
          <w:sz w:val="24"/>
          <w:szCs w:val="24"/>
          <w:lang w:eastAsia="pt-BR"/>
        </w:rPr>
        <w:t>AU</w:t>
      </w:r>
      <w:r w:rsidR="00DD7E47" w:rsidRPr="009614DC">
        <w:rPr>
          <w:rFonts w:ascii="Times New Roman" w:eastAsia="Calibri" w:hAnsi="Times New Roman" w:cs="Times New Roman"/>
          <w:sz w:val="24"/>
          <w:szCs w:val="24"/>
          <w:lang w:eastAsia="pt-BR"/>
        </w:rPr>
        <w:t>, conforme tabela 2</w:t>
      </w:r>
      <w:r w:rsidRPr="009614DC">
        <w:rPr>
          <w:rFonts w:ascii="Times New Roman" w:eastAsia="Calibri" w:hAnsi="Times New Roman" w:cs="Times New Roman"/>
          <w:sz w:val="24"/>
          <w:szCs w:val="24"/>
          <w:lang w:eastAsia="pt-BR"/>
        </w:rPr>
        <w:t>, de acordo com o indicador correspondente;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"/>
        <w:gridCol w:w="1136"/>
        <w:gridCol w:w="2007"/>
        <w:gridCol w:w="1997"/>
        <w:gridCol w:w="1301"/>
        <w:gridCol w:w="1657"/>
      </w:tblGrid>
      <w:tr w:rsidR="008B1A56" w:rsidRPr="00C322DF" w:rsidTr="00DB7212">
        <w:trPr>
          <w:trHeight w:val="330"/>
        </w:trPr>
        <w:tc>
          <w:tcPr>
            <w:tcW w:w="9061" w:type="dxa"/>
            <w:gridSpan w:val="6"/>
            <w:vAlign w:val="center"/>
            <w:hideMark/>
          </w:tcPr>
          <w:p w:rsidR="008B1A56" w:rsidRPr="00C322DF" w:rsidRDefault="008B1A56" w:rsidP="00DB72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CONTROLE DE OCORRÊNCIAS DIÁRIAS</w:t>
            </w:r>
          </w:p>
        </w:tc>
      </w:tr>
      <w:tr w:rsidR="008B1A56" w:rsidRPr="00C322DF" w:rsidTr="00DB7212">
        <w:trPr>
          <w:trHeight w:val="315"/>
        </w:trPr>
        <w:tc>
          <w:tcPr>
            <w:tcW w:w="963" w:type="dxa"/>
            <w:noWrap/>
            <w:hideMark/>
          </w:tcPr>
          <w:p w:rsidR="008B1A56" w:rsidRPr="00C322DF" w:rsidRDefault="008B1A56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dia/mês</w:t>
            </w:r>
          </w:p>
        </w:tc>
        <w:tc>
          <w:tcPr>
            <w:tcW w:w="1136" w:type="dxa"/>
            <w:noWrap/>
            <w:hideMark/>
          </w:tcPr>
          <w:p w:rsidR="008B1A56" w:rsidRPr="00C322DF" w:rsidRDefault="008B1A56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Indicador</w:t>
            </w:r>
          </w:p>
        </w:tc>
        <w:tc>
          <w:tcPr>
            <w:tcW w:w="2007" w:type="dxa"/>
            <w:hideMark/>
          </w:tcPr>
          <w:p w:rsidR="008B1A56" w:rsidRPr="00C322DF" w:rsidRDefault="008B1A56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997" w:type="dxa"/>
            <w:noWrap/>
            <w:hideMark/>
          </w:tcPr>
          <w:p w:rsidR="008B1A56" w:rsidRPr="00C322DF" w:rsidRDefault="008B1A56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Observações</w:t>
            </w:r>
          </w:p>
        </w:tc>
        <w:tc>
          <w:tcPr>
            <w:tcW w:w="1301" w:type="dxa"/>
            <w:noWrap/>
            <w:hideMark/>
          </w:tcPr>
          <w:p w:rsidR="008B1A56" w:rsidRPr="00C322DF" w:rsidRDefault="008B1A56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Ass. Fiscal</w:t>
            </w:r>
          </w:p>
        </w:tc>
        <w:tc>
          <w:tcPr>
            <w:tcW w:w="1657" w:type="dxa"/>
            <w:noWrap/>
            <w:hideMark/>
          </w:tcPr>
          <w:p w:rsidR="008B1A56" w:rsidRPr="00C322DF" w:rsidRDefault="008B1A56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Ass. Preposto</w:t>
            </w:r>
          </w:p>
        </w:tc>
      </w:tr>
      <w:tr w:rsidR="008B1A56" w:rsidRPr="00C322DF" w:rsidTr="00DB7212">
        <w:trPr>
          <w:trHeight w:val="300"/>
        </w:trPr>
        <w:tc>
          <w:tcPr>
            <w:tcW w:w="963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01/0X</w:t>
            </w:r>
          </w:p>
        </w:tc>
        <w:tc>
          <w:tcPr>
            <w:tcW w:w="1136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0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9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7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B1A56" w:rsidRPr="00C322DF" w:rsidTr="00DB7212">
        <w:trPr>
          <w:trHeight w:val="300"/>
        </w:trPr>
        <w:tc>
          <w:tcPr>
            <w:tcW w:w="963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02/0X</w:t>
            </w:r>
          </w:p>
        </w:tc>
        <w:tc>
          <w:tcPr>
            <w:tcW w:w="1136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0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9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7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B1A56" w:rsidRPr="00C322DF" w:rsidTr="00DB7212">
        <w:trPr>
          <w:trHeight w:val="300"/>
        </w:trPr>
        <w:tc>
          <w:tcPr>
            <w:tcW w:w="963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03/0X</w:t>
            </w:r>
          </w:p>
        </w:tc>
        <w:tc>
          <w:tcPr>
            <w:tcW w:w="1136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0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9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7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B1A56" w:rsidRPr="00C322DF" w:rsidTr="00DB7212">
        <w:trPr>
          <w:trHeight w:val="300"/>
        </w:trPr>
        <w:tc>
          <w:tcPr>
            <w:tcW w:w="963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04/0X</w:t>
            </w:r>
          </w:p>
        </w:tc>
        <w:tc>
          <w:tcPr>
            <w:tcW w:w="1136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0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9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7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B1A56" w:rsidRPr="00C322DF" w:rsidTr="00DB7212">
        <w:trPr>
          <w:trHeight w:val="300"/>
        </w:trPr>
        <w:tc>
          <w:tcPr>
            <w:tcW w:w="963" w:type="dxa"/>
            <w:noWrap/>
            <w:hideMark/>
          </w:tcPr>
          <w:p w:rsidR="008B1A56" w:rsidRPr="00C322DF" w:rsidRDefault="008B1A56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136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0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9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7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B1A56" w:rsidRPr="00C322DF" w:rsidTr="00DB7212">
        <w:trPr>
          <w:trHeight w:val="300"/>
        </w:trPr>
        <w:tc>
          <w:tcPr>
            <w:tcW w:w="963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/0X</w:t>
            </w:r>
          </w:p>
        </w:tc>
        <w:tc>
          <w:tcPr>
            <w:tcW w:w="1136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0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97" w:type="dxa"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noWrap/>
            <w:hideMark/>
          </w:tcPr>
          <w:p w:rsidR="008B1A56" w:rsidRPr="00C322DF" w:rsidRDefault="008B1A56" w:rsidP="00DB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7" w:type="dxa"/>
            <w:noWrap/>
            <w:hideMark/>
          </w:tcPr>
          <w:p w:rsidR="008B1A56" w:rsidRPr="00C322DF" w:rsidRDefault="008B1A56" w:rsidP="008B1A56">
            <w:pPr>
              <w:keepNext/>
              <w:rPr>
                <w:rFonts w:ascii="Times New Roman" w:hAnsi="Times New Roman" w:cs="Times New Roman"/>
                <w:sz w:val="24"/>
                <w:szCs w:val="24"/>
              </w:rPr>
            </w:pPr>
            <w:r w:rsidRPr="00C322D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8B1A56" w:rsidRPr="008B1A56" w:rsidRDefault="008B1A56" w:rsidP="008B1A56">
      <w:pPr>
        <w:pStyle w:val="Legenda"/>
        <w:jc w:val="center"/>
        <w:rPr>
          <w:rFonts w:ascii="Times New Roman" w:eastAsia="Calibri" w:hAnsi="Times New Roman" w:cs="Times New Roman"/>
          <w:color w:val="auto"/>
          <w:sz w:val="24"/>
          <w:szCs w:val="24"/>
          <w:lang w:eastAsia="pt-BR"/>
        </w:rPr>
      </w:pPr>
      <w:r w:rsidRPr="008B1A56">
        <w:rPr>
          <w:rFonts w:ascii="Times New Roman" w:hAnsi="Times New Roman" w:cs="Times New Roman"/>
          <w:color w:val="auto"/>
        </w:rPr>
        <w:t xml:space="preserve">Tabela </w:t>
      </w:r>
      <w:r w:rsidRPr="008B1A56">
        <w:rPr>
          <w:rFonts w:ascii="Times New Roman" w:hAnsi="Times New Roman" w:cs="Times New Roman"/>
          <w:color w:val="auto"/>
        </w:rPr>
        <w:fldChar w:fldCharType="begin"/>
      </w:r>
      <w:r w:rsidRPr="008B1A56">
        <w:rPr>
          <w:rFonts w:ascii="Times New Roman" w:hAnsi="Times New Roman" w:cs="Times New Roman"/>
          <w:color w:val="auto"/>
        </w:rPr>
        <w:instrText xml:space="preserve"> SEQ Tabela \* ARABIC </w:instrText>
      </w:r>
      <w:r w:rsidRPr="008B1A56">
        <w:rPr>
          <w:rFonts w:ascii="Times New Roman" w:hAnsi="Times New Roman" w:cs="Times New Roman"/>
          <w:color w:val="auto"/>
        </w:rPr>
        <w:fldChar w:fldCharType="separate"/>
      </w:r>
      <w:r w:rsidR="00DD7E47">
        <w:rPr>
          <w:rFonts w:ascii="Times New Roman" w:hAnsi="Times New Roman" w:cs="Times New Roman"/>
          <w:noProof/>
          <w:color w:val="auto"/>
        </w:rPr>
        <w:t>2</w:t>
      </w:r>
      <w:r w:rsidRPr="008B1A56">
        <w:rPr>
          <w:rFonts w:ascii="Times New Roman" w:hAnsi="Times New Roman" w:cs="Times New Roman"/>
          <w:color w:val="auto"/>
        </w:rPr>
        <w:fldChar w:fldCharType="end"/>
      </w:r>
      <w:r w:rsidRPr="008B1A56">
        <w:rPr>
          <w:rFonts w:ascii="Times New Roman" w:hAnsi="Times New Roman" w:cs="Times New Roman"/>
          <w:color w:val="auto"/>
        </w:rPr>
        <w:t xml:space="preserve"> - Controle de ocorrências diárias</w:t>
      </w:r>
    </w:p>
    <w:p w:rsidR="008B1A56" w:rsidRDefault="008B1A56" w:rsidP="007D4D8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Comunicar e solicitar ao preposto do contrato a cada ocorrência, observando os prazos previstos para atendimento em cada indicador;</w:t>
      </w:r>
    </w:p>
    <w:p w:rsidR="00AB1BBC" w:rsidRDefault="00AB1BBC" w:rsidP="007D4D8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As quantidades de ocorrências identificadas nos indicadores mensurados, serão</w:t>
      </w:r>
      <w:r w:rsidR="00631170"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inseridas na tabela</w:t>
      </w: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– Quantidade de ocorrências mensais, de modo a fornecer dados para o preenchimento das respectivas linhas inteiras, que contemplam </w:t>
      </w:r>
      <w:r w:rsidR="005C4456"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os indicadores</w:t>
      </w: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de v</w:t>
      </w:r>
      <w:r w:rsidR="00DD7E4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erificação técnica dos serviços, de acordo com a Tabela 3.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02"/>
        <w:gridCol w:w="1506"/>
        <w:gridCol w:w="1949"/>
        <w:gridCol w:w="1275"/>
        <w:gridCol w:w="1653"/>
        <w:gridCol w:w="1176"/>
      </w:tblGrid>
      <w:tr w:rsidR="00DD7E47" w:rsidRPr="00E40CFF" w:rsidTr="00DB7212">
        <w:tc>
          <w:tcPr>
            <w:tcW w:w="9061" w:type="dxa"/>
            <w:gridSpan w:val="6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QUANTIDADE DE OCORRÊNCIAS MENSAIS</w:t>
            </w:r>
          </w:p>
        </w:tc>
      </w:tr>
      <w:tr w:rsidR="00DD7E47" w:rsidRPr="00E40CFF" w:rsidTr="00DB7212">
        <w:tc>
          <w:tcPr>
            <w:tcW w:w="1502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Nº indicador</w:t>
            </w:r>
          </w:p>
        </w:tc>
        <w:tc>
          <w:tcPr>
            <w:tcW w:w="1506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Nº de ocorrências</w:t>
            </w:r>
          </w:p>
        </w:tc>
        <w:tc>
          <w:tcPr>
            <w:tcW w:w="1949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Gravidade da ocorrência</w:t>
            </w:r>
          </w:p>
        </w:tc>
        <w:tc>
          <w:tcPr>
            <w:tcW w:w="1275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Total (=)</w:t>
            </w:r>
          </w:p>
        </w:tc>
        <w:tc>
          <w:tcPr>
            <w:tcW w:w="1653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Tolerância (-)</w:t>
            </w:r>
          </w:p>
        </w:tc>
        <w:tc>
          <w:tcPr>
            <w:tcW w:w="1176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Resultado</w:t>
            </w:r>
          </w:p>
        </w:tc>
      </w:tr>
      <w:tr w:rsidR="00DD7E47" w:rsidTr="00DB7212">
        <w:tc>
          <w:tcPr>
            <w:tcW w:w="1502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Nº 1</w:t>
            </w:r>
          </w:p>
        </w:tc>
        <w:tc>
          <w:tcPr>
            <w:tcW w:w="1506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49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275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  <w:tc>
          <w:tcPr>
            <w:tcW w:w="1653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176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</w:tr>
      <w:tr w:rsidR="00DD7E47" w:rsidTr="00DB7212">
        <w:tc>
          <w:tcPr>
            <w:tcW w:w="1502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Nº 2</w:t>
            </w:r>
          </w:p>
        </w:tc>
        <w:tc>
          <w:tcPr>
            <w:tcW w:w="1506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49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275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  <w:tc>
          <w:tcPr>
            <w:tcW w:w="1653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176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</w:tr>
      <w:tr w:rsidR="00DD7E47" w:rsidTr="00DB7212">
        <w:tc>
          <w:tcPr>
            <w:tcW w:w="1502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Nº 3</w:t>
            </w:r>
          </w:p>
        </w:tc>
        <w:tc>
          <w:tcPr>
            <w:tcW w:w="1506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49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1275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  <w:tc>
          <w:tcPr>
            <w:tcW w:w="1653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1176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</w:tr>
      <w:tr w:rsidR="00DD7E47" w:rsidTr="00DB7212">
        <w:tc>
          <w:tcPr>
            <w:tcW w:w="1502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...</w:t>
            </w:r>
          </w:p>
        </w:tc>
        <w:tc>
          <w:tcPr>
            <w:tcW w:w="1506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49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275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  <w:tc>
          <w:tcPr>
            <w:tcW w:w="1653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176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</w:tr>
      <w:tr w:rsidR="00DD7E47" w:rsidTr="00DB7212">
        <w:tc>
          <w:tcPr>
            <w:tcW w:w="1502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Nº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 xml:space="preserve"> x</w:t>
            </w:r>
          </w:p>
        </w:tc>
        <w:tc>
          <w:tcPr>
            <w:tcW w:w="1506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49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1275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  <w:tc>
          <w:tcPr>
            <w:tcW w:w="1653" w:type="dxa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176" w:type="dxa"/>
            <w:vAlign w:val="center"/>
          </w:tcPr>
          <w:p w:rsidR="00DD7E47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</w:tr>
      <w:tr w:rsidR="00DD7E47" w:rsidTr="00DB7212">
        <w:tc>
          <w:tcPr>
            <w:tcW w:w="7885" w:type="dxa"/>
            <w:gridSpan w:val="5"/>
            <w:vAlign w:val="center"/>
          </w:tcPr>
          <w:p w:rsidR="00DD7E47" w:rsidRPr="00E40CFF" w:rsidRDefault="00DD7E47" w:rsidP="00DB7212">
            <w:pPr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E40CF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pt-BR"/>
              </w:rPr>
              <w:t>FATOR DE QUALIDADE</w:t>
            </w:r>
          </w:p>
        </w:tc>
        <w:tc>
          <w:tcPr>
            <w:tcW w:w="1176" w:type="dxa"/>
            <w:vAlign w:val="center"/>
          </w:tcPr>
          <w:p w:rsidR="00DD7E47" w:rsidRDefault="00DD7E47" w:rsidP="00DD7E47">
            <w:pPr>
              <w:keepNext/>
              <w:widowControl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</w:tc>
      </w:tr>
    </w:tbl>
    <w:p w:rsidR="00DD7E47" w:rsidRPr="00DD7E47" w:rsidRDefault="00DD7E47" w:rsidP="00DD7E47">
      <w:pPr>
        <w:pStyle w:val="Legenda"/>
        <w:jc w:val="center"/>
        <w:rPr>
          <w:rFonts w:ascii="Times New Roman" w:eastAsia="Calibri" w:hAnsi="Times New Roman" w:cs="Times New Roman"/>
          <w:color w:val="auto"/>
          <w:sz w:val="24"/>
          <w:szCs w:val="24"/>
          <w:lang w:eastAsia="pt-BR"/>
        </w:rPr>
      </w:pPr>
      <w:r w:rsidRPr="00DD7E47">
        <w:rPr>
          <w:rFonts w:ascii="Times New Roman" w:hAnsi="Times New Roman" w:cs="Times New Roman"/>
          <w:color w:val="auto"/>
        </w:rPr>
        <w:t xml:space="preserve">Tabela </w:t>
      </w:r>
      <w:r w:rsidRPr="00DD7E47">
        <w:rPr>
          <w:rFonts w:ascii="Times New Roman" w:hAnsi="Times New Roman" w:cs="Times New Roman"/>
          <w:color w:val="auto"/>
        </w:rPr>
        <w:fldChar w:fldCharType="begin"/>
      </w:r>
      <w:r w:rsidRPr="00DD7E47">
        <w:rPr>
          <w:rFonts w:ascii="Times New Roman" w:hAnsi="Times New Roman" w:cs="Times New Roman"/>
          <w:color w:val="auto"/>
        </w:rPr>
        <w:instrText xml:space="preserve"> SEQ Tabela \* ARABIC </w:instrText>
      </w:r>
      <w:r w:rsidRPr="00DD7E47">
        <w:rPr>
          <w:rFonts w:ascii="Times New Roman" w:hAnsi="Times New Roman" w:cs="Times New Roman"/>
          <w:color w:val="auto"/>
        </w:rPr>
        <w:fldChar w:fldCharType="separate"/>
      </w:r>
      <w:r>
        <w:rPr>
          <w:rFonts w:ascii="Times New Roman" w:hAnsi="Times New Roman" w:cs="Times New Roman"/>
          <w:noProof/>
          <w:color w:val="auto"/>
        </w:rPr>
        <w:t>3</w:t>
      </w:r>
      <w:r w:rsidRPr="00DD7E47">
        <w:rPr>
          <w:rFonts w:ascii="Times New Roman" w:hAnsi="Times New Roman" w:cs="Times New Roman"/>
          <w:color w:val="auto"/>
        </w:rPr>
        <w:fldChar w:fldCharType="end"/>
      </w:r>
      <w:r w:rsidRPr="00DD7E47">
        <w:rPr>
          <w:rFonts w:ascii="Times New Roman" w:hAnsi="Times New Roman" w:cs="Times New Roman"/>
          <w:color w:val="auto"/>
        </w:rPr>
        <w:t xml:space="preserve"> - Quantidade de ocorrências mensais</w:t>
      </w:r>
    </w:p>
    <w:p w:rsidR="00AB1BBC" w:rsidRPr="007D4D87" w:rsidRDefault="00AB1BBC" w:rsidP="007D4D8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Após este preenchimento, todas as ocorrências serão multiplicadas pelo GRAU DE GRAVIDADE e somadas na linha TOTAL por tipo de ocorrência, corres</w:t>
      </w:r>
      <w:r w:rsidR="00631170"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pondendo a cada um dos</w:t>
      </w: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Itens; </w:t>
      </w:r>
    </w:p>
    <w:p w:rsidR="00EB207F" w:rsidRPr="007D4D87" w:rsidRDefault="00AB1BBC" w:rsidP="007D4D8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A seguir, do valor totalizado para cada coluna de verificação qualitativa será deduzido do respectivo valor da TOLERÂNCIA prevista/admitida (por coluna), obtendo-se o valor referente, RESULTADO. </w:t>
      </w:r>
    </w:p>
    <w:p w:rsidR="00AB1BBC" w:rsidRPr="007D4D87" w:rsidRDefault="00AB1BBC" w:rsidP="007D4D8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Por fim, será somada toda a </w:t>
      </w:r>
      <w:r w:rsidR="00EB207F"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coluna</w:t>
      </w: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RESULTADO, obtendo-se um número final chamado de FATOR DE QUALIDADE.</w:t>
      </w:r>
    </w:p>
    <w:p w:rsidR="003C7B20" w:rsidRPr="003C7B20" w:rsidRDefault="00AB1BBC" w:rsidP="00DD7E4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Levando em consideração o resultado do FATOR DE QUALIDADE é que será feito o pagame</w:t>
      </w:r>
      <w:r w:rsidR="003C7B20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nto do valor mensal do contrato, de acordo com as faixas de ajustes no pagamento conforme Tabela 4.</w:t>
      </w:r>
    </w:p>
    <w:p w:rsidR="00DD7E47" w:rsidRPr="004225C4" w:rsidRDefault="00AB1BBC" w:rsidP="003C7B20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Por exemplo, se durante um mês o FATOR DE QUALIDADE final for de 30 pontos</w:t>
      </w:r>
      <w:r w:rsidR="00EB207F"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será efetuado o pagamento de 97,50</w:t>
      </w:r>
      <w:r w:rsidR="003C7B20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% do valor mensal do contrato, uma vez que o FQ se encontra na faixa de ajuste número 3.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3543"/>
        <w:gridCol w:w="3963"/>
      </w:tblGrid>
      <w:tr w:rsidR="00DD7E47" w:rsidTr="00DB7212">
        <w:tc>
          <w:tcPr>
            <w:tcW w:w="9061" w:type="dxa"/>
            <w:gridSpan w:val="3"/>
          </w:tcPr>
          <w:p w:rsidR="00DD7E47" w:rsidRPr="00E40CFF" w:rsidRDefault="00DD7E47" w:rsidP="00DB72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CFF">
              <w:rPr>
                <w:rFonts w:ascii="Times New Roman" w:hAnsi="Times New Roman" w:cs="Times New Roman"/>
                <w:b/>
                <w:sz w:val="24"/>
                <w:szCs w:val="24"/>
              </w:rPr>
              <w:t>FAIXAS DE AJUSTES NO PAGAMENTO</w:t>
            </w:r>
          </w:p>
        </w:tc>
      </w:tr>
      <w:tr w:rsidR="00DD7E47" w:rsidTr="00DB7212">
        <w:tc>
          <w:tcPr>
            <w:tcW w:w="1555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Faixa</w:t>
            </w:r>
          </w:p>
        </w:tc>
        <w:tc>
          <w:tcPr>
            <w:tcW w:w="354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Fator de qualidade</w:t>
            </w:r>
          </w:p>
        </w:tc>
        <w:tc>
          <w:tcPr>
            <w:tcW w:w="396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 de pagamento do valor contratado</w:t>
            </w:r>
          </w:p>
        </w:tc>
      </w:tr>
      <w:tr w:rsidR="00DD7E47" w:rsidTr="00DB7212">
        <w:tc>
          <w:tcPr>
            <w:tcW w:w="1555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54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5</w:t>
            </w:r>
          </w:p>
        </w:tc>
        <w:tc>
          <w:tcPr>
            <w:tcW w:w="396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DD7E47" w:rsidTr="00DB7212">
        <w:tc>
          <w:tcPr>
            <w:tcW w:w="1555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4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– 22</w:t>
            </w:r>
          </w:p>
        </w:tc>
        <w:tc>
          <w:tcPr>
            <w:tcW w:w="396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</w:tr>
      <w:tr w:rsidR="00DD7E47" w:rsidTr="00DB7212">
        <w:tc>
          <w:tcPr>
            <w:tcW w:w="1555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4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– 40</w:t>
            </w:r>
          </w:p>
        </w:tc>
        <w:tc>
          <w:tcPr>
            <w:tcW w:w="396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97,50</w:t>
            </w:r>
          </w:p>
        </w:tc>
      </w:tr>
      <w:tr w:rsidR="00DD7E47" w:rsidTr="00DB7212">
        <w:tc>
          <w:tcPr>
            <w:tcW w:w="1555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4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 – 100 </w:t>
            </w:r>
          </w:p>
        </w:tc>
        <w:tc>
          <w:tcPr>
            <w:tcW w:w="396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</w:t>
            </w:r>
          </w:p>
        </w:tc>
      </w:tr>
      <w:tr w:rsidR="00DD7E47" w:rsidTr="00DB7212">
        <w:tc>
          <w:tcPr>
            <w:tcW w:w="1555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3543" w:type="dxa"/>
          </w:tcPr>
          <w:p w:rsidR="00DD7E47" w:rsidRDefault="00DD7E47" w:rsidP="00DB7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Acima de 100</w:t>
            </w:r>
          </w:p>
        </w:tc>
        <w:tc>
          <w:tcPr>
            <w:tcW w:w="3963" w:type="dxa"/>
          </w:tcPr>
          <w:p w:rsidR="00DD7E47" w:rsidRDefault="00DD7E47" w:rsidP="00DD7E47">
            <w:pPr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95,00 e Penalização conforme edital</w:t>
            </w:r>
          </w:p>
        </w:tc>
      </w:tr>
    </w:tbl>
    <w:p w:rsidR="00DD7E47" w:rsidRPr="00DD7E47" w:rsidRDefault="00DD7E47" w:rsidP="00DD7E47">
      <w:pPr>
        <w:pStyle w:val="Legenda"/>
        <w:jc w:val="center"/>
        <w:rPr>
          <w:rFonts w:ascii="Times New Roman" w:eastAsia="Ecofont_Spranq_eco_Sans" w:hAnsi="Times New Roman" w:cs="Times New Roman"/>
          <w:color w:val="auto"/>
          <w:sz w:val="24"/>
          <w:szCs w:val="24"/>
          <w:lang w:eastAsia="pt-BR"/>
        </w:rPr>
      </w:pPr>
      <w:r w:rsidRPr="00DD7E47">
        <w:rPr>
          <w:rFonts w:ascii="Times New Roman" w:hAnsi="Times New Roman" w:cs="Times New Roman"/>
          <w:color w:val="auto"/>
        </w:rPr>
        <w:t xml:space="preserve">Tabela </w:t>
      </w:r>
      <w:r w:rsidRPr="00DD7E47">
        <w:rPr>
          <w:rFonts w:ascii="Times New Roman" w:hAnsi="Times New Roman" w:cs="Times New Roman"/>
          <w:color w:val="auto"/>
        </w:rPr>
        <w:fldChar w:fldCharType="begin"/>
      </w:r>
      <w:r w:rsidRPr="00DD7E47">
        <w:rPr>
          <w:rFonts w:ascii="Times New Roman" w:hAnsi="Times New Roman" w:cs="Times New Roman"/>
          <w:color w:val="auto"/>
        </w:rPr>
        <w:instrText xml:space="preserve"> SEQ Tabela \* ARABIC </w:instrText>
      </w:r>
      <w:r w:rsidRPr="00DD7E47">
        <w:rPr>
          <w:rFonts w:ascii="Times New Roman" w:hAnsi="Times New Roman" w:cs="Times New Roman"/>
          <w:color w:val="auto"/>
        </w:rPr>
        <w:fldChar w:fldCharType="separate"/>
      </w:r>
      <w:r w:rsidRPr="00DD7E47">
        <w:rPr>
          <w:rFonts w:ascii="Times New Roman" w:hAnsi="Times New Roman" w:cs="Times New Roman"/>
          <w:noProof/>
          <w:color w:val="auto"/>
        </w:rPr>
        <w:t>4</w:t>
      </w:r>
      <w:r w:rsidRPr="00DD7E47">
        <w:rPr>
          <w:rFonts w:ascii="Times New Roman" w:hAnsi="Times New Roman" w:cs="Times New Roman"/>
          <w:color w:val="auto"/>
        </w:rPr>
        <w:fldChar w:fldCharType="end"/>
      </w:r>
      <w:r w:rsidRPr="00DD7E47">
        <w:rPr>
          <w:rFonts w:ascii="Times New Roman" w:hAnsi="Times New Roman" w:cs="Times New Roman"/>
          <w:color w:val="auto"/>
        </w:rPr>
        <w:t xml:space="preserve"> - Faixas de ajustes do pagamento</w:t>
      </w:r>
    </w:p>
    <w:p w:rsidR="00AB1BBC" w:rsidRPr="003C7B20" w:rsidRDefault="0075065E" w:rsidP="007D4D8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Valores </w:t>
      </w:r>
      <w:r w:rsidRPr="0075065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>negativos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, da coluna RESULTADO não devem ser considerados no cálculo do FATOR DE QUALIDADE</w:t>
      </w:r>
      <w:r w:rsidR="00AB1BBC" w:rsidRPr="007D4D87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.</w:t>
      </w:r>
    </w:p>
    <w:p w:rsidR="003C7B20" w:rsidRPr="003C7B20" w:rsidRDefault="003C7B20" w:rsidP="007D4D8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Ao fim de cada período de execução (mês), o fiscal deve comunicar a contratada sobre o resultado alcançado na prestação dos serviços, oportunizando a contratada justificar o não atingimento das metas previstas.</w:t>
      </w:r>
    </w:p>
    <w:p w:rsidR="003C7B20" w:rsidRPr="003C7B20" w:rsidRDefault="003C7B20" w:rsidP="003C7B20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Sugere-se de um a dois dias para justificativa da contratada;</w:t>
      </w:r>
    </w:p>
    <w:p w:rsidR="003C7B20" w:rsidRPr="003C7B20" w:rsidRDefault="003C7B20" w:rsidP="003C7B20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Orienta-se ainda que, as justificativas sejam solicitadas no ato da ocorrência e não ao fim do período de execução mensal.</w:t>
      </w:r>
    </w:p>
    <w:p w:rsidR="003C7B20" w:rsidRPr="003C7B20" w:rsidRDefault="003C7B20" w:rsidP="007D4D87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O fiscal deve anexar ao processo de acompanhamento da execução mensal:</w:t>
      </w:r>
    </w:p>
    <w:p w:rsidR="003C7B20" w:rsidRPr="003C7B20" w:rsidRDefault="003C7B20" w:rsidP="003C7B20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Tabela 2 – Controle de ocorrências diárias;</w:t>
      </w:r>
    </w:p>
    <w:p w:rsidR="003C7B20" w:rsidRPr="003C7B20" w:rsidRDefault="003C7B20" w:rsidP="003C7B20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Tabela 3 – Quantidade de ocorrências mensais;</w:t>
      </w:r>
    </w:p>
    <w:p w:rsidR="003C7B20" w:rsidRPr="003C7B20" w:rsidRDefault="003C7B20" w:rsidP="003C7B20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Documentos de justificativas da contratada.</w:t>
      </w:r>
    </w:p>
    <w:p w:rsidR="003C7B20" w:rsidRPr="0075065E" w:rsidRDefault="002C6A71" w:rsidP="003C7B20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Ecofont_Spranq_eco_Sans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O fiscal deve preencher o Relatório de Recebimento Provisório dos Serviços Terceirizados, informando o percentual de ajuste </w:t>
      </w:r>
      <w:r w:rsidR="005E59D2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no pagamento mensal do contrato e encaminhar a fiscalização administrativa conforme procedimento previsto no manual de gestão e fiscalização de contratos do </w:t>
      </w:r>
      <w:proofErr w:type="spellStart"/>
      <w:r w:rsidR="005E59D2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IFSul</w:t>
      </w:r>
      <w:proofErr w:type="spellEnd"/>
      <w:r w:rsidR="005E59D2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.</w:t>
      </w:r>
    </w:p>
    <w:p w:rsidR="00C05D84" w:rsidRPr="009614DC" w:rsidRDefault="0075065E" w:rsidP="00C05D8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9614DC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O modelo de IMR (Apêndice </w:t>
      </w:r>
      <w:r w:rsidR="000C0B7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AU</w:t>
      </w:r>
      <w:r w:rsidRPr="009614DC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), prevê uma lista de indicadores considerando as atividades mais relevantes ou críticas que impliquem na qualidade da prestação dos serviços e nos resultados esperados, no entanto esses indicadores pré-definidos devem ser analisados no momento do planejamento da con</w:t>
      </w:r>
      <w:r w:rsidR="00FB2772" w:rsidRPr="009614DC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tratação, podendo ser excluídos, </w:t>
      </w:r>
      <w:r w:rsidRPr="009614DC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alterados e/ou inseridos novos indicadores e metas </w:t>
      </w:r>
      <w:r w:rsidR="00E40CFF" w:rsidRPr="009614DC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a</w:t>
      </w:r>
      <w:r w:rsidRPr="009614DC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depender do objeto a ser contratado.</w:t>
      </w:r>
      <w:r w:rsidR="00E40CFF" w:rsidRPr="009614DC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A tabela 1 demostra o modelo padr</w:t>
      </w:r>
      <w:r w:rsidR="005E59D2" w:rsidRPr="009614DC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ão de indicador a ser utilizado na criação de novos indicadores.</w:t>
      </w:r>
    </w:p>
    <w:p w:rsidR="00C04BA7" w:rsidRDefault="00C04BA7" w:rsidP="00C04BA7"/>
    <w:p w:rsidR="006B5E33" w:rsidRDefault="006B5E33" w:rsidP="00C04BA7"/>
    <w:p w:rsidR="006B5E33" w:rsidRPr="00C775B9" w:rsidRDefault="006B5E33" w:rsidP="006B5E33">
      <w:pPr>
        <w:jc w:val="center"/>
      </w:pPr>
      <w:r w:rsidRPr="00C775B9">
        <w:t>____________________________________________</w:t>
      </w:r>
    </w:p>
    <w:p w:rsidR="006B5E33" w:rsidRPr="006B5E33" w:rsidRDefault="006B5E33" w:rsidP="006B5E33">
      <w:pPr>
        <w:spacing w:after="0" w:line="288" w:lineRule="auto"/>
        <w:jc w:val="center"/>
        <w:rPr>
          <w:rFonts w:ascii="Times New Roman" w:hAnsi="Times New Roman" w:cs="Times New Roman"/>
          <w:b/>
          <w:i/>
          <w:sz w:val="24"/>
        </w:rPr>
      </w:pPr>
      <w:r w:rsidRPr="006B5E33">
        <w:rPr>
          <w:rFonts w:ascii="Times New Roman" w:hAnsi="Times New Roman" w:cs="Times New Roman"/>
          <w:b/>
          <w:i/>
          <w:sz w:val="24"/>
        </w:rPr>
        <w:t>Coordenadoria de Gestão de Contratos</w:t>
      </w:r>
    </w:p>
    <w:p w:rsidR="006B5E33" w:rsidRPr="006B5E33" w:rsidRDefault="006B5E33" w:rsidP="006B5E33">
      <w:pPr>
        <w:spacing w:after="0" w:line="288" w:lineRule="auto"/>
        <w:jc w:val="center"/>
        <w:rPr>
          <w:rFonts w:ascii="Times New Roman" w:hAnsi="Times New Roman" w:cs="Times New Roman"/>
          <w:i/>
          <w:sz w:val="24"/>
        </w:rPr>
      </w:pPr>
      <w:r w:rsidRPr="006B5E33">
        <w:rPr>
          <w:rFonts w:ascii="Times New Roman" w:hAnsi="Times New Roman" w:cs="Times New Roman"/>
          <w:b/>
          <w:i/>
          <w:sz w:val="24"/>
        </w:rPr>
        <w:t>Instituto Federal de Educação, Ciência e Tecnologia Sul-rio-grandense</w:t>
      </w:r>
    </w:p>
    <w:p w:rsidR="00C04BA7" w:rsidRPr="00C04BA7" w:rsidRDefault="00C04BA7" w:rsidP="00C04BA7"/>
    <w:sectPr w:rsidR="00C04BA7" w:rsidRPr="00C04BA7" w:rsidSect="004223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4CF" w:rsidRDefault="006754CF" w:rsidP="007F6551">
      <w:pPr>
        <w:spacing w:after="0" w:line="240" w:lineRule="auto"/>
      </w:pPr>
      <w:r>
        <w:separator/>
      </w:r>
    </w:p>
  </w:endnote>
  <w:endnote w:type="continuationSeparator" w:id="0">
    <w:p w:rsidR="006754CF" w:rsidRDefault="006754CF" w:rsidP="007F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DejaVu Sans"/>
    <w:charset w:val="00"/>
    <w:family w:val="swiss"/>
    <w:pitch w:val="variable"/>
    <w:sig w:usb0="00000003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26" w:rsidRDefault="00B87A2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31" w:rsidRDefault="00422331" w:rsidP="00422331">
    <w:pPr>
      <w:pStyle w:val="Rodap"/>
      <w:pBdr>
        <w:bottom w:val="single" w:sz="8" w:space="2" w:color="000000"/>
      </w:pBdr>
      <w:rPr>
        <w:sz w:val="16"/>
        <w:szCs w:val="16"/>
      </w:rPr>
    </w:pPr>
  </w:p>
  <w:p w:rsidR="00422331" w:rsidRDefault="00422331" w:rsidP="00422331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:rsidR="007F6551" w:rsidRPr="00422331" w:rsidRDefault="008641AB" w:rsidP="00422331">
    <w:pPr>
      <w:pStyle w:val="Rodap"/>
      <w:jc w:val="right"/>
      <w:rPr>
        <w:sz w:val="16"/>
        <w:szCs w:val="16"/>
      </w:rPr>
    </w:pPr>
    <w:r>
      <w:rPr>
        <w:sz w:val="16"/>
        <w:szCs w:val="16"/>
      </w:rPr>
      <w:t>Atualizado dezembro</w:t>
    </w:r>
    <w:r w:rsidR="00422331">
      <w:rPr>
        <w:sz w:val="16"/>
        <w:szCs w:val="16"/>
      </w:rPr>
      <w:t xml:space="preserve"> de 2020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31" w:rsidRDefault="00422331" w:rsidP="00422331">
    <w:pPr>
      <w:pStyle w:val="Rodap"/>
      <w:pBdr>
        <w:bottom w:val="single" w:sz="8" w:space="2" w:color="000000"/>
      </w:pBdr>
      <w:rPr>
        <w:sz w:val="16"/>
        <w:szCs w:val="16"/>
      </w:rPr>
    </w:pPr>
  </w:p>
  <w:p w:rsidR="00422331" w:rsidRDefault="00422331" w:rsidP="00422331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:rsidR="007F6551" w:rsidRPr="00422331" w:rsidRDefault="00422331" w:rsidP="00422331">
    <w:pPr>
      <w:pStyle w:val="Rodap"/>
      <w:jc w:val="right"/>
      <w:rPr>
        <w:sz w:val="16"/>
        <w:szCs w:val="16"/>
      </w:rPr>
    </w:pPr>
    <w:r>
      <w:rPr>
        <w:sz w:val="16"/>
        <w:szCs w:val="16"/>
      </w:rPr>
      <w:t xml:space="preserve">Atualizado </w:t>
    </w:r>
    <w:r w:rsidR="00B87A26">
      <w:rPr>
        <w:sz w:val="16"/>
        <w:szCs w:val="16"/>
      </w:rPr>
      <w:t>dezembro</w:t>
    </w:r>
    <w:r>
      <w:rPr>
        <w:sz w:val="16"/>
        <w:szCs w:val="16"/>
      </w:rPr>
      <w:t xml:space="preserve"> de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4CF" w:rsidRDefault="006754CF" w:rsidP="007F6551">
      <w:pPr>
        <w:spacing w:after="0" w:line="240" w:lineRule="auto"/>
      </w:pPr>
      <w:r>
        <w:separator/>
      </w:r>
    </w:p>
  </w:footnote>
  <w:footnote w:type="continuationSeparator" w:id="0">
    <w:p w:rsidR="006754CF" w:rsidRDefault="006754CF" w:rsidP="007F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26" w:rsidRDefault="00B87A2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26" w:rsidRDefault="00B87A2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551" w:rsidRDefault="00422331" w:rsidP="00422331">
    <w:pPr>
      <w:pStyle w:val="Cabealho"/>
    </w:pPr>
    <w:r w:rsidRPr="00E13B2F">
      <w:rPr>
        <w:noProof/>
        <w:lang w:eastAsia="pt-BR"/>
      </w:rPr>
      <w:drawing>
        <wp:inline distT="0" distB="0" distL="0" distR="0">
          <wp:extent cx="5759450" cy="1323975"/>
          <wp:effectExtent l="0" t="0" r="0" b="952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3239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422331" w:rsidRPr="00422331" w:rsidRDefault="00422331" w:rsidP="0042233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C4FDC"/>
    <w:multiLevelType w:val="hybridMultilevel"/>
    <w:tmpl w:val="E7A8D7B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0D8"/>
    <w:rsid w:val="000C0B78"/>
    <w:rsid w:val="001139F4"/>
    <w:rsid w:val="001722A0"/>
    <w:rsid w:val="002065F1"/>
    <w:rsid w:val="002125DF"/>
    <w:rsid w:val="002C5B1C"/>
    <w:rsid w:val="002C6A71"/>
    <w:rsid w:val="00384381"/>
    <w:rsid w:val="003A5FB3"/>
    <w:rsid w:val="003C7B20"/>
    <w:rsid w:val="004112C3"/>
    <w:rsid w:val="00422331"/>
    <w:rsid w:val="004225C4"/>
    <w:rsid w:val="005314CB"/>
    <w:rsid w:val="005806E2"/>
    <w:rsid w:val="005C4456"/>
    <w:rsid w:val="005E59D2"/>
    <w:rsid w:val="0062195C"/>
    <w:rsid w:val="00631170"/>
    <w:rsid w:val="006754CF"/>
    <w:rsid w:val="006B5E33"/>
    <w:rsid w:val="006E2C6A"/>
    <w:rsid w:val="0075065E"/>
    <w:rsid w:val="007D4D87"/>
    <w:rsid w:val="007F6551"/>
    <w:rsid w:val="008641AB"/>
    <w:rsid w:val="008B1A56"/>
    <w:rsid w:val="008B54AA"/>
    <w:rsid w:val="008D081C"/>
    <w:rsid w:val="008E0C52"/>
    <w:rsid w:val="009614DC"/>
    <w:rsid w:val="009840D8"/>
    <w:rsid w:val="00A53138"/>
    <w:rsid w:val="00A74D97"/>
    <w:rsid w:val="00AB1BBC"/>
    <w:rsid w:val="00AF4738"/>
    <w:rsid w:val="00B46B6A"/>
    <w:rsid w:val="00B87A26"/>
    <w:rsid w:val="00C04BA7"/>
    <w:rsid w:val="00C05D84"/>
    <w:rsid w:val="00C14F01"/>
    <w:rsid w:val="00C322DF"/>
    <w:rsid w:val="00C35280"/>
    <w:rsid w:val="00D10C30"/>
    <w:rsid w:val="00DA11A2"/>
    <w:rsid w:val="00DD7E47"/>
    <w:rsid w:val="00E40CFF"/>
    <w:rsid w:val="00EB207F"/>
    <w:rsid w:val="00EB35C8"/>
    <w:rsid w:val="00F46FAE"/>
    <w:rsid w:val="00FB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0AFB41"/>
  <w15:chartTrackingRefBased/>
  <w15:docId w15:val="{B8D4C866-A6D0-4FD5-8CE3-30A68755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840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F65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6551"/>
  </w:style>
  <w:style w:type="paragraph" w:styleId="Rodap">
    <w:name w:val="footer"/>
    <w:basedOn w:val="Normal"/>
    <w:link w:val="RodapChar"/>
    <w:unhideWhenUsed/>
    <w:rsid w:val="007F65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7F6551"/>
  </w:style>
  <w:style w:type="paragraph" w:styleId="PargrafodaLista">
    <w:name w:val="List Paragraph"/>
    <w:basedOn w:val="Normal"/>
    <w:uiPriority w:val="34"/>
    <w:qFormat/>
    <w:rsid w:val="007D4D87"/>
    <w:pPr>
      <w:ind w:left="720"/>
      <w:contextualSpacing/>
    </w:pPr>
  </w:style>
  <w:style w:type="paragraph" w:styleId="Legenda">
    <w:name w:val="caption"/>
    <w:basedOn w:val="Normal"/>
    <w:next w:val="Normal"/>
    <w:uiPriority w:val="35"/>
    <w:unhideWhenUsed/>
    <w:qFormat/>
    <w:rsid w:val="00C04BA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24614-3C1F-4244-BBA8-EDC4819A4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909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de Rosso Bolzan</dc:creator>
  <cp:keywords/>
  <dc:description/>
  <cp:lastModifiedBy>Israel Fernandes</cp:lastModifiedBy>
  <cp:revision>11</cp:revision>
  <dcterms:created xsi:type="dcterms:W3CDTF">2020-11-13T14:35:00Z</dcterms:created>
  <dcterms:modified xsi:type="dcterms:W3CDTF">2020-12-22T14:19:00Z</dcterms:modified>
</cp:coreProperties>
</file>